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751" w:rsidRPr="009F7F7F" w:rsidRDefault="002D6751" w:rsidP="002D6751">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Pr>
          <w:rFonts w:ascii="Arial" w:eastAsiaTheme="minorEastAsia" w:hAnsi="Arial" w:cs="Arial" w:hint="eastAsia"/>
          <w:b/>
          <w:color w:val="000000" w:themeColor="text1"/>
          <w:sz w:val="24"/>
          <w:szCs w:val="24"/>
          <w:lang w:val="en-US"/>
        </w:rPr>
        <w:t>4</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Pr>
          <w:rFonts w:ascii="Arial" w:eastAsiaTheme="minorEastAsia" w:hAnsi="Arial" w:cs="Arial" w:hint="eastAsia"/>
          <w:b/>
          <w:color w:val="000000" w:themeColor="text1"/>
          <w:sz w:val="24"/>
          <w:szCs w:val="24"/>
          <w:lang w:val="en-US"/>
        </w:rPr>
        <w:t xml:space="preserve">   </w:t>
      </w:r>
      <w:r w:rsidRPr="008D0BA0">
        <w:rPr>
          <w:rFonts w:ascii="Arial" w:eastAsiaTheme="minorEastAsia" w:hAnsi="Arial" w:cs="Arial" w:hint="eastAsia"/>
          <w:b/>
          <w:color w:val="FF0000"/>
          <w:sz w:val="24"/>
          <w:szCs w:val="24"/>
          <w:lang w:val="en-US"/>
        </w:rPr>
        <w:t xml:space="preserve">   </w:t>
      </w:r>
      <w:r>
        <w:rPr>
          <w:rFonts w:ascii="Arial" w:hAnsi="Arial" w:cs="Arial" w:hint="eastAsia"/>
          <w:b/>
          <w:color w:val="FF0000"/>
          <w:sz w:val="24"/>
          <w:szCs w:val="24"/>
        </w:rPr>
        <w:t xml:space="preserve">     </w:t>
      </w:r>
      <w:r w:rsidRPr="00DD54C3">
        <w:rPr>
          <w:rFonts w:ascii="Arial" w:hAnsi="Arial" w:cs="Arial" w:hint="eastAsia"/>
          <w:b/>
          <w:color w:val="000000" w:themeColor="text1"/>
          <w:sz w:val="24"/>
          <w:szCs w:val="24"/>
        </w:rPr>
        <w:t xml:space="preserve"> </w:t>
      </w:r>
      <w:r w:rsidR="00E22CE7" w:rsidRPr="00E22CE7">
        <w:rPr>
          <w:rFonts w:ascii="Arial" w:hAnsi="Arial" w:cs="Arial"/>
          <w:b/>
          <w:color w:val="000000" w:themeColor="text1"/>
          <w:sz w:val="24"/>
          <w:szCs w:val="24"/>
        </w:rPr>
        <w:t>R4-2501028</w:t>
      </w:r>
    </w:p>
    <w:p w:rsidR="002D6751" w:rsidRPr="000C6484" w:rsidRDefault="002D6751" w:rsidP="002D6751">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Pr>
          <w:rFonts w:ascii="Arial" w:hAnsi="Arial" w:cs="Arial"/>
          <w:b/>
          <w:color w:val="000000" w:themeColor="text1"/>
          <w:sz w:val="24"/>
          <w:szCs w:val="24"/>
        </w:rPr>
        <w:t>Athens</w:t>
      </w:r>
      <w:r w:rsidRPr="00996F1F">
        <w:rPr>
          <w:rFonts w:ascii="Arial" w:hAnsi="Arial" w:cs="Arial"/>
          <w:b/>
          <w:color w:val="000000" w:themeColor="text1"/>
          <w:sz w:val="24"/>
          <w:szCs w:val="24"/>
        </w:rPr>
        <w:t>, GR</w:t>
      </w:r>
      <w:r w:rsidRPr="000C6484">
        <w:rPr>
          <w:rFonts w:ascii="Arial" w:hAnsi="Arial" w:cs="Arial"/>
          <w:b/>
          <w:color w:val="000000" w:themeColor="text1"/>
          <w:sz w:val="24"/>
          <w:szCs w:val="24"/>
        </w:rPr>
        <w:t>, 1</w:t>
      </w:r>
      <w:r>
        <w:rPr>
          <w:rFonts w:ascii="Arial" w:hAnsi="Arial" w:cs="Arial" w:hint="eastAsia"/>
          <w:b/>
          <w:color w:val="000000" w:themeColor="text1"/>
          <w:sz w:val="24"/>
          <w:szCs w:val="24"/>
        </w:rPr>
        <w:t>7</w:t>
      </w:r>
      <w:r w:rsidRPr="000C6484">
        <w:rPr>
          <w:rFonts w:ascii="Arial" w:hAnsi="Arial" w:cs="Arial"/>
          <w:b/>
          <w:color w:val="000000" w:themeColor="text1"/>
          <w:sz w:val="24"/>
          <w:szCs w:val="24"/>
        </w:rPr>
        <w:t>th – 2</w:t>
      </w:r>
      <w:r>
        <w:rPr>
          <w:rFonts w:ascii="Arial" w:hAnsi="Arial" w:cs="Arial" w:hint="eastAsia"/>
          <w:b/>
          <w:color w:val="000000" w:themeColor="text1"/>
          <w:sz w:val="24"/>
          <w:szCs w:val="24"/>
        </w:rPr>
        <w:t>1st</w:t>
      </w:r>
      <w:r w:rsidRPr="000C6484">
        <w:rPr>
          <w:rFonts w:ascii="Arial" w:hAnsi="Arial" w:cs="Arial"/>
          <w:b/>
          <w:color w:val="000000" w:themeColor="text1"/>
          <w:sz w:val="24"/>
          <w:szCs w:val="24"/>
        </w:rPr>
        <w:t xml:space="preserve"> </w:t>
      </w:r>
      <w:r>
        <w:rPr>
          <w:rFonts w:ascii="Arial" w:hAnsi="Arial" w:cs="Arial"/>
          <w:b/>
          <w:color w:val="000000" w:themeColor="text1"/>
          <w:sz w:val="24"/>
          <w:szCs w:val="24"/>
        </w:rPr>
        <w:t>February</w:t>
      </w:r>
      <w:r w:rsidRPr="000C6484">
        <w:rPr>
          <w:rFonts w:ascii="Arial" w:hAnsi="Arial" w:cs="Arial"/>
          <w:b/>
          <w:color w:val="000000" w:themeColor="text1"/>
          <w:sz w:val="24"/>
          <w:szCs w:val="24"/>
        </w:rPr>
        <w:t>, 202</w:t>
      </w:r>
      <w:r>
        <w:rPr>
          <w:rFonts w:ascii="Arial" w:hAnsi="Arial" w:cs="Arial" w:hint="eastAsia"/>
          <w:b/>
          <w:color w:val="000000" w:themeColor="text1"/>
          <w:sz w:val="24"/>
          <w:szCs w:val="24"/>
        </w:rPr>
        <w:t>5</w:t>
      </w:r>
    </w:p>
    <w:p w:rsidR="003953C4" w:rsidRPr="002D6751" w:rsidRDefault="003953C4" w:rsidP="000B7C0C">
      <w:pPr>
        <w:pStyle w:val="afb"/>
        <w:spacing w:before="120" w:after="0"/>
        <w:rPr>
          <w:color w:val="000000" w:themeColor="text1"/>
          <w:lang w:val="en-US"/>
        </w:rPr>
      </w:pPr>
    </w:p>
    <w:p w:rsidR="00360188" w:rsidRPr="00954C45" w:rsidRDefault="00A63EF1" w:rsidP="00360188">
      <w:pPr>
        <w:pStyle w:val="afb"/>
        <w:spacing w:before="0" w:after="0" w:line="360" w:lineRule="auto"/>
        <w:rPr>
          <w:rFonts w:ascii="Arial" w:hAnsi="Arial" w:cs="Arial"/>
          <w:color w:val="000000" w:themeColor="text1"/>
          <w:lang w:val="en-US"/>
        </w:rPr>
      </w:pPr>
      <w:r w:rsidRPr="00954C45">
        <w:rPr>
          <w:rFonts w:ascii="Arial" w:hAnsi="Arial" w:cs="Arial"/>
          <w:color w:val="000000" w:themeColor="text1"/>
        </w:rPr>
        <w:t xml:space="preserve">Title: </w:t>
      </w:r>
      <w:r w:rsidRPr="00954C45">
        <w:rPr>
          <w:rFonts w:ascii="Arial" w:hAnsi="Arial" w:cs="Arial"/>
          <w:b w:val="0"/>
          <w:color w:val="000000" w:themeColor="text1"/>
        </w:rPr>
        <w:tab/>
      </w:r>
      <w:r w:rsidR="00E72CC9" w:rsidRPr="00485D24">
        <w:rPr>
          <w:rFonts w:ascii="Arial" w:hAnsi="Arial" w:cs="Arial"/>
          <w:b w:val="0"/>
          <w:color w:val="000000" w:themeColor="text1"/>
          <w:lang w:val="en-US"/>
        </w:rPr>
        <w:t>Discussion</w:t>
      </w:r>
      <w:r w:rsidR="00401E6A" w:rsidRPr="00485D24">
        <w:rPr>
          <w:rFonts w:ascii="Arial" w:hAnsi="Arial" w:cs="Arial"/>
          <w:b w:val="0"/>
          <w:color w:val="000000" w:themeColor="text1"/>
          <w:lang w:val="en-US"/>
        </w:rPr>
        <w:t xml:space="preserve"> on </w:t>
      </w:r>
      <w:r w:rsidR="00145916" w:rsidRPr="00485D24">
        <w:rPr>
          <w:rFonts w:ascii="Arial" w:hAnsi="Arial" w:cs="Arial"/>
          <w:b w:val="0"/>
          <w:color w:val="000000" w:themeColor="text1"/>
          <w:lang w:val="en-US"/>
        </w:rPr>
        <w:t>potentially new requirements for SBFD operation</w:t>
      </w:r>
      <w:r w:rsidR="00145916" w:rsidRPr="00954C45">
        <w:rPr>
          <w:rFonts w:ascii="Arial" w:hAnsi="Arial" w:cs="Arial"/>
          <w:color w:val="000000" w:themeColor="text1"/>
          <w:lang w:val="en-US"/>
        </w:rPr>
        <w:t xml:space="preserve"> </w:t>
      </w:r>
    </w:p>
    <w:p w:rsidR="00C34497" w:rsidRPr="00954C45" w:rsidRDefault="00C34497" w:rsidP="00A63EF1">
      <w:pPr>
        <w:pStyle w:val="afb"/>
        <w:spacing w:before="0" w:after="0" w:line="360" w:lineRule="auto"/>
        <w:rPr>
          <w:rFonts w:ascii="Arial" w:hAnsi="Arial" w:cs="Arial"/>
          <w:color w:val="000000" w:themeColor="text1"/>
        </w:rPr>
      </w:pPr>
      <w:r w:rsidRPr="00954C45">
        <w:rPr>
          <w:rFonts w:ascii="Arial" w:hAnsi="Arial" w:cs="Arial"/>
          <w:color w:val="000000" w:themeColor="text1"/>
        </w:rPr>
        <w:t xml:space="preserve">Source: </w:t>
      </w:r>
      <w:r w:rsidRPr="00954C45">
        <w:rPr>
          <w:rFonts w:ascii="Arial" w:hAnsi="Arial" w:cs="Arial"/>
          <w:color w:val="000000" w:themeColor="text1"/>
        </w:rPr>
        <w:tab/>
      </w:r>
      <w:r w:rsidRPr="00954C45">
        <w:rPr>
          <w:rFonts w:ascii="Arial" w:hAnsi="Arial" w:cs="Arial"/>
          <w:b w:val="0"/>
          <w:color w:val="000000" w:themeColor="text1"/>
        </w:rPr>
        <w:t>CATT</w:t>
      </w:r>
    </w:p>
    <w:p w:rsidR="00C34497" w:rsidRPr="00092CBD" w:rsidRDefault="00C34497" w:rsidP="00A63EF1">
      <w:pPr>
        <w:pStyle w:val="afb"/>
        <w:spacing w:before="0" w:after="0" w:line="360" w:lineRule="auto"/>
        <w:rPr>
          <w:rFonts w:ascii="Arial" w:hAnsi="Arial" w:cs="Arial"/>
          <w:color w:val="FF0000"/>
        </w:rPr>
      </w:pPr>
      <w:r w:rsidRPr="00954C45">
        <w:rPr>
          <w:rFonts w:ascii="Arial" w:hAnsi="Arial" w:cs="Arial"/>
          <w:color w:val="000000" w:themeColor="text1"/>
        </w:rPr>
        <w:t>Agenda item:</w:t>
      </w:r>
      <w:r w:rsidRPr="00954C45">
        <w:rPr>
          <w:rFonts w:ascii="Arial" w:hAnsi="Arial" w:cs="Arial"/>
          <w:b w:val="0"/>
          <w:color w:val="000000" w:themeColor="text1"/>
        </w:rPr>
        <w:tab/>
      </w:r>
      <w:r w:rsidR="00F63E0C" w:rsidRPr="00F63E0C">
        <w:rPr>
          <w:rFonts w:ascii="Arial" w:hAnsi="Arial" w:cs="Arial"/>
          <w:b w:val="0"/>
          <w:color w:val="000000" w:themeColor="text1"/>
          <w:lang w:val="en-US"/>
        </w:rPr>
        <w:t>7.23.2.1</w:t>
      </w:r>
    </w:p>
    <w:p w:rsidR="00C34497" w:rsidRPr="00954C45" w:rsidRDefault="00C34497" w:rsidP="00A63EF1">
      <w:pPr>
        <w:pStyle w:val="afb"/>
        <w:spacing w:before="0" w:after="0" w:line="360" w:lineRule="auto"/>
        <w:rPr>
          <w:rFonts w:ascii="Arial" w:hAnsi="Arial" w:cs="Arial"/>
          <w:b w:val="0"/>
          <w:color w:val="000000" w:themeColor="text1"/>
          <w:lang w:val="en-US"/>
        </w:rPr>
      </w:pPr>
      <w:r w:rsidRPr="00954C45">
        <w:rPr>
          <w:rFonts w:ascii="Arial" w:hAnsi="Arial" w:cs="Arial"/>
          <w:color w:val="000000" w:themeColor="text1"/>
        </w:rPr>
        <w:t>Document for:</w:t>
      </w:r>
      <w:r w:rsidRPr="00954C45">
        <w:rPr>
          <w:rFonts w:ascii="Arial" w:hAnsi="Arial" w:cs="Arial"/>
          <w:b w:val="0"/>
          <w:color w:val="000000" w:themeColor="text1"/>
        </w:rPr>
        <w:tab/>
      </w:r>
      <w:bookmarkStart w:id="1" w:name="DocumentFor"/>
      <w:bookmarkEnd w:id="1"/>
      <w:r w:rsidR="00633F4E" w:rsidRPr="00954C45">
        <w:rPr>
          <w:rFonts w:ascii="Arial" w:hAnsi="Arial" w:cs="Arial" w:hint="eastAsia"/>
          <w:b w:val="0"/>
          <w:color w:val="000000" w:themeColor="text1"/>
        </w:rPr>
        <w:t>Discussion</w:t>
      </w:r>
    </w:p>
    <w:p w:rsidR="004D369A" w:rsidRPr="00954C45"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54C45">
        <w:rPr>
          <w:rFonts w:hint="eastAsia"/>
          <w:color w:val="000000" w:themeColor="text1"/>
          <w:lang w:eastAsia="zh-CN"/>
        </w:rPr>
        <w:t>Background</w:t>
      </w:r>
    </w:p>
    <w:p w:rsidR="00B91647" w:rsidRPr="00954C45" w:rsidRDefault="00C12E4C" w:rsidP="00EE7513">
      <w:pPr>
        <w:rPr>
          <w:color w:val="000000" w:themeColor="text1"/>
          <w:sz w:val="20"/>
          <w:lang w:val="en-US"/>
        </w:rPr>
      </w:pPr>
      <w:r>
        <w:rPr>
          <w:rFonts w:hint="eastAsia"/>
          <w:iCs/>
          <w:color w:val="000000" w:themeColor="text1"/>
        </w:rPr>
        <w:t>WF [1]</w:t>
      </w:r>
      <w:r w:rsidR="009F5474">
        <w:rPr>
          <w:rFonts w:hint="eastAsia"/>
          <w:iCs/>
          <w:color w:val="000000" w:themeColor="text1"/>
        </w:rPr>
        <w:t xml:space="preserve"> </w:t>
      </w:r>
      <w:r>
        <w:rPr>
          <w:rFonts w:hint="eastAsia"/>
          <w:iCs/>
          <w:color w:val="000000" w:themeColor="text1"/>
        </w:rPr>
        <w:t>of RAN4#11</w:t>
      </w:r>
      <w:r w:rsidR="002D6751">
        <w:rPr>
          <w:rFonts w:hint="eastAsia"/>
          <w:iCs/>
          <w:color w:val="000000" w:themeColor="text1"/>
        </w:rPr>
        <w:t>3</w:t>
      </w:r>
      <w:r w:rsidR="005E7601">
        <w:rPr>
          <w:rFonts w:hint="eastAsia"/>
          <w:iCs/>
          <w:color w:val="000000" w:themeColor="text1"/>
        </w:rPr>
        <w:t xml:space="preserve"> </w:t>
      </w:r>
      <w:r w:rsidRPr="008368BE">
        <w:rPr>
          <w:rFonts w:hint="eastAsia"/>
          <w:color w:val="000000" w:themeColor="text1"/>
        </w:rPr>
        <w:t xml:space="preserve">concluded </w:t>
      </w:r>
      <w:r w:rsidRPr="008368BE">
        <w:rPr>
          <w:color w:val="000000" w:themeColor="text1"/>
          <w:lang w:val="en-US"/>
        </w:rPr>
        <w:t>that further stud</w:t>
      </w:r>
      <w:r w:rsidRPr="008368BE">
        <w:rPr>
          <w:rFonts w:hint="eastAsia"/>
          <w:color w:val="000000" w:themeColor="text1"/>
          <w:lang w:val="en-US"/>
        </w:rPr>
        <w:t>ies are</w:t>
      </w:r>
      <w:r w:rsidRPr="008368BE">
        <w:rPr>
          <w:color w:val="000000" w:themeColor="text1"/>
          <w:lang w:val="en-US"/>
        </w:rPr>
        <w:t xml:space="preserve"> needed </w:t>
      </w:r>
      <w:r>
        <w:rPr>
          <w:rFonts w:hint="eastAsia"/>
          <w:color w:val="000000" w:themeColor="text1"/>
          <w:lang w:val="en-US"/>
        </w:rPr>
        <w:t xml:space="preserve">for </w:t>
      </w:r>
      <w:r w:rsidR="009F5474" w:rsidRPr="009F5474">
        <w:rPr>
          <w:color w:val="000000" w:themeColor="text1"/>
          <w:lang w:val="en-US"/>
        </w:rPr>
        <w:t xml:space="preserve">potentially new </w:t>
      </w:r>
      <w:r w:rsidR="009F5474">
        <w:rPr>
          <w:rFonts w:hint="eastAsia"/>
          <w:color w:val="000000" w:themeColor="text1"/>
          <w:lang w:val="en-US"/>
        </w:rPr>
        <w:t xml:space="preserve">RF </w:t>
      </w:r>
      <w:r w:rsidR="009F5474" w:rsidRPr="009F5474">
        <w:rPr>
          <w:color w:val="000000" w:themeColor="text1"/>
          <w:lang w:val="en-US"/>
        </w:rPr>
        <w:t>requirements</w:t>
      </w:r>
      <w:r w:rsidRPr="00954C45">
        <w:rPr>
          <w:rFonts w:hint="eastAsia"/>
          <w:color w:val="000000" w:themeColor="text1"/>
          <w:lang w:val="en-US"/>
        </w:rPr>
        <w:t>,</w:t>
      </w:r>
      <w:r w:rsidR="00EE7513" w:rsidRPr="00954C45">
        <w:rPr>
          <w:rFonts w:hint="eastAsia"/>
          <w:color w:val="000000" w:themeColor="text1"/>
        </w:rPr>
        <w:t xml:space="preserve"> </w:t>
      </w:r>
      <w:r w:rsidR="00E02F7E">
        <w:rPr>
          <w:rFonts w:hint="eastAsia"/>
          <w:color w:val="000000" w:themeColor="text1"/>
          <w:lang w:val="en-US"/>
        </w:rPr>
        <w:t xml:space="preserve">in </w:t>
      </w:r>
      <w:r w:rsidR="006E73C5" w:rsidRPr="00954C45">
        <w:rPr>
          <w:rFonts w:hint="eastAsia"/>
          <w:color w:val="000000" w:themeColor="text1"/>
        </w:rPr>
        <w:t>t</w:t>
      </w:r>
      <w:r w:rsidR="00EE7513" w:rsidRPr="00954C45">
        <w:rPr>
          <w:rFonts w:hint="eastAsia"/>
          <w:color w:val="000000" w:themeColor="text1"/>
        </w:rPr>
        <w:t xml:space="preserve">his </w:t>
      </w:r>
      <w:r w:rsidR="00EE7513" w:rsidRPr="00954C45">
        <w:rPr>
          <w:rFonts w:hint="eastAsia"/>
          <w:color w:val="000000" w:themeColor="text1"/>
          <w:sz w:val="20"/>
          <w:lang w:val="en-US"/>
        </w:rPr>
        <w:t>contribution</w:t>
      </w:r>
      <w:r w:rsidR="00E02F7E">
        <w:rPr>
          <w:rFonts w:hint="eastAsia"/>
          <w:color w:val="000000" w:themeColor="text1"/>
          <w:sz w:val="20"/>
          <w:lang w:val="en-US"/>
        </w:rPr>
        <w:t>, we</w:t>
      </w:r>
      <w:r w:rsidR="001A68E8">
        <w:rPr>
          <w:rFonts w:hint="eastAsia"/>
          <w:color w:val="000000" w:themeColor="text1"/>
          <w:sz w:val="20"/>
          <w:lang w:val="en-US"/>
        </w:rPr>
        <w:t xml:space="preserve"> provide</w:t>
      </w:r>
      <w:r w:rsidR="00EE7513" w:rsidRPr="00954C45">
        <w:rPr>
          <w:rFonts w:hint="eastAsia"/>
          <w:color w:val="000000" w:themeColor="text1"/>
          <w:sz w:val="20"/>
          <w:lang w:val="en-US"/>
        </w:rPr>
        <w:t xml:space="preserve"> our </w:t>
      </w:r>
      <w:r w:rsidR="00EE7513" w:rsidRPr="00954C45">
        <w:rPr>
          <w:color w:val="000000" w:themeColor="text1"/>
          <w:sz w:val="20"/>
          <w:lang w:val="en-US"/>
        </w:rPr>
        <w:t xml:space="preserve">further </w:t>
      </w:r>
      <w:r w:rsidR="00EE7513" w:rsidRPr="00954C45">
        <w:rPr>
          <w:rFonts w:hint="eastAsia"/>
          <w:color w:val="000000" w:themeColor="text1"/>
          <w:sz w:val="20"/>
          <w:lang w:val="en-US"/>
        </w:rPr>
        <w:t>analys</w:t>
      </w:r>
      <w:r w:rsidR="00EE7513" w:rsidRPr="00954C45">
        <w:rPr>
          <w:color w:val="000000" w:themeColor="text1"/>
          <w:sz w:val="20"/>
          <w:lang w:val="en-US"/>
        </w:rPr>
        <w:t>is</w:t>
      </w:r>
      <w:r w:rsidR="00E02F7E">
        <w:rPr>
          <w:rFonts w:hint="eastAsia"/>
          <w:color w:val="000000" w:themeColor="text1"/>
          <w:sz w:val="20"/>
          <w:lang w:val="en-US"/>
        </w:rPr>
        <w:t xml:space="preserve"> of them</w:t>
      </w:r>
      <w:r w:rsidR="00EE7513" w:rsidRPr="00954C45">
        <w:rPr>
          <w:rFonts w:hint="eastAsia"/>
          <w:color w:val="000000" w:themeColor="text1"/>
          <w:sz w:val="20"/>
          <w:lang w:val="en-US"/>
        </w:rPr>
        <w:t>.</w:t>
      </w:r>
    </w:p>
    <w:p w:rsidR="009839FB" w:rsidRPr="009839FB" w:rsidRDefault="009839FB" w:rsidP="00131E8E">
      <w:pPr>
        <w:pStyle w:val="afa"/>
        <w:keepNext/>
        <w:keepLines/>
        <w:widowControl/>
        <w:numPr>
          <w:ilvl w:val="0"/>
          <w:numId w:val="32"/>
        </w:numPr>
        <w:pBdr>
          <w:top w:val="single" w:sz="12" w:space="3" w:color="auto"/>
        </w:pBdr>
        <w:tabs>
          <w:tab w:val="left" w:pos="700"/>
        </w:tabs>
        <w:overflowPunct w:val="0"/>
        <w:autoSpaceDE w:val="0"/>
        <w:autoSpaceDN w:val="0"/>
        <w:adjustRightInd w:val="0"/>
        <w:spacing w:before="180" w:after="120" w:line="240" w:lineRule="auto"/>
        <w:ind w:firstLineChars="0"/>
        <w:jc w:val="left"/>
        <w:textAlignment w:val="baseline"/>
        <w:outlineLvl w:val="0"/>
        <w:rPr>
          <w:rFonts w:ascii="Arial" w:hAnsi="Arial"/>
          <w:vanish/>
          <w:color w:val="000000" w:themeColor="text1"/>
          <w:kern w:val="0"/>
          <w:sz w:val="32"/>
          <w:szCs w:val="20"/>
        </w:rPr>
      </w:pPr>
    </w:p>
    <w:p w:rsidR="009F28E5" w:rsidRPr="00B47D2E" w:rsidRDefault="00B842A2" w:rsidP="001923B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B47D2E">
        <w:rPr>
          <w:rFonts w:hint="eastAsia"/>
          <w:color w:val="000000" w:themeColor="text1"/>
          <w:lang w:eastAsia="zh-CN"/>
        </w:rPr>
        <w:t xml:space="preserve">New requirements </w:t>
      </w:r>
      <w:r w:rsidRPr="00B47D2E">
        <w:rPr>
          <w:color w:val="000000" w:themeColor="text1"/>
          <w:lang w:eastAsia="zh-CN"/>
        </w:rPr>
        <w:t>for SBFD operation</w:t>
      </w:r>
    </w:p>
    <w:p w:rsidR="009F28E5" w:rsidRDefault="009839FB" w:rsidP="009839FB">
      <w:pPr>
        <w:pStyle w:val="2"/>
        <w:rPr>
          <w:color w:val="000000" w:themeColor="text1"/>
        </w:rPr>
      </w:pPr>
      <w:r>
        <w:rPr>
          <w:rFonts w:hint="eastAsia"/>
          <w:color w:val="000000" w:themeColor="text1"/>
        </w:rPr>
        <w:t xml:space="preserve">2.1 </w:t>
      </w:r>
      <w:r w:rsidR="009F28E5" w:rsidRPr="00954C45">
        <w:rPr>
          <w:color w:val="000000" w:themeColor="text1"/>
        </w:rPr>
        <w:t>Transient period</w:t>
      </w:r>
    </w:p>
    <w:p w:rsidR="00454B8F" w:rsidRPr="00454B8F" w:rsidRDefault="00454B8F" w:rsidP="00454B8F">
      <w:r>
        <w:rPr>
          <w:rFonts w:hint="eastAsia"/>
        </w:rPr>
        <w:t xml:space="preserve">In </w:t>
      </w:r>
      <w:r w:rsidR="00155305">
        <w:rPr>
          <w:rFonts w:hint="eastAsia"/>
        </w:rPr>
        <w:t>WF</w:t>
      </w:r>
      <w:r w:rsidR="00FD1186">
        <w:rPr>
          <w:rFonts w:hint="eastAsia"/>
        </w:rPr>
        <w:t xml:space="preserve"> </w:t>
      </w:r>
      <w:r w:rsidR="00155305">
        <w:rPr>
          <w:rFonts w:hint="eastAsia"/>
        </w:rPr>
        <w:t>[1], agreement</w:t>
      </w:r>
      <w:r w:rsidR="002307DD">
        <w:rPr>
          <w:rFonts w:hint="eastAsia"/>
        </w:rPr>
        <w:t>s</w:t>
      </w:r>
      <w:r w:rsidR="00155305">
        <w:rPr>
          <w:rFonts w:hint="eastAsia"/>
        </w:rPr>
        <w:t xml:space="preserve"> of t</w:t>
      </w:r>
      <w:r w:rsidR="00155305" w:rsidRPr="00954C45">
        <w:rPr>
          <w:color w:val="000000" w:themeColor="text1"/>
        </w:rPr>
        <w:t>ransmitter transient period</w:t>
      </w:r>
      <w:r w:rsidR="00155305">
        <w:rPr>
          <w:rFonts w:hint="eastAsia"/>
          <w:color w:val="000000" w:themeColor="text1"/>
        </w:rPr>
        <w:t xml:space="preserve"> are </w:t>
      </w:r>
      <w:r w:rsidR="002307DD">
        <w:rPr>
          <w:rFonts w:hint="eastAsia"/>
          <w:color w:val="000000" w:themeColor="text1"/>
        </w:rPr>
        <w:t>shown following.</w:t>
      </w:r>
    </w:p>
    <w:p w:rsidR="00C12E4C" w:rsidRDefault="00505653" w:rsidP="009F28E5">
      <w:pPr>
        <w:rPr>
          <w:color w:val="000000" w:themeColor="text1"/>
        </w:rPr>
      </w:pPr>
      <w:r w:rsidRPr="00505653">
        <w:rPr>
          <w:noProof/>
          <w:color w:val="000000" w:themeColor="text1"/>
          <w:lang w:val="en-US"/>
        </w:rPr>
        <mc:AlternateContent>
          <mc:Choice Requires="wps">
            <w:drawing>
              <wp:anchor distT="0" distB="0" distL="114300" distR="114300" simplePos="0" relativeHeight="251659264" behindDoc="0" locked="0" layoutInCell="1" allowOverlap="1" wp14:anchorId="7471C463" wp14:editId="4B880E10">
                <wp:simplePos x="0" y="0"/>
                <wp:positionH relativeFrom="column">
                  <wp:align>center</wp:align>
                </wp:positionH>
                <wp:positionV relativeFrom="paragraph">
                  <wp:posOffset>0</wp:posOffset>
                </wp:positionV>
                <wp:extent cx="6191250" cy="990600"/>
                <wp:effectExtent l="0" t="0" r="19050" b="1905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990600"/>
                        </a:xfrm>
                        <a:prstGeom prst="rect">
                          <a:avLst/>
                        </a:prstGeom>
                        <a:solidFill>
                          <a:srgbClr val="FFFFFF"/>
                        </a:solidFill>
                        <a:ln w="9525">
                          <a:solidFill>
                            <a:srgbClr val="000000"/>
                          </a:solidFill>
                          <a:miter lim="800000"/>
                          <a:headEnd/>
                          <a:tailEnd/>
                        </a:ln>
                      </wps:spPr>
                      <wps:txbx>
                        <w:txbxContent>
                          <w:p w:rsidR="00A15836" w:rsidRDefault="00A15836" w:rsidP="00A15836">
                            <w:pPr>
                              <w:pStyle w:val="5"/>
                              <w:ind w:left="864" w:hanging="864"/>
                              <w:rPr>
                                <w:lang w:val="en-US"/>
                              </w:rPr>
                            </w:pPr>
                            <w:r>
                              <w:rPr>
                                <w:lang w:val="en-US"/>
                              </w:rPr>
                              <w:t>Issue 3-1-2: Location of transient period between SBFD and non-SBFD</w:t>
                            </w:r>
                          </w:p>
                          <w:p w:rsidR="00A15836" w:rsidRDefault="00A15836" w:rsidP="00A15836">
                            <w:pPr>
                              <w:spacing w:after="120" w:line="259" w:lineRule="auto"/>
                              <w:rPr>
                                <w:lang w:val="en-US"/>
                              </w:rPr>
                            </w:pPr>
                            <w:r>
                              <w:rPr>
                                <w:lang w:val="en-US"/>
                              </w:rPr>
                              <w:t>Way Forward:</w:t>
                            </w:r>
                          </w:p>
                          <w:p w:rsidR="00A15836" w:rsidRPr="00A15836" w:rsidRDefault="00A15836" w:rsidP="00A15836">
                            <w:pPr>
                              <w:pStyle w:val="afa"/>
                              <w:widowControl/>
                              <w:numPr>
                                <w:ilvl w:val="0"/>
                                <w:numId w:val="23"/>
                              </w:numPr>
                              <w:spacing w:before="24" w:after="24" w:line="259" w:lineRule="auto"/>
                              <w:ind w:left="936" w:firstLineChars="0"/>
                              <w:jc w:val="left"/>
                              <w:rPr>
                                <w:lang w:val="en-US"/>
                              </w:rPr>
                            </w:pPr>
                            <w:r w:rsidRPr="00A15836">
                              <w:rPr>
                                <w:rFonts w:eastAsiaTheme="minorEastAsia"/>
                                <w:lang w:val="en-US"/>
                              </w:rPr>
                              <w:t xml:space="preserve">FFS whether the transmitter transient period shall be located within the SBFD symbol or not: </w:t>
                            </w:r>
                          </w:p>
                          <w:p w:rsidR="00505653" w:rsidRPr="00A15836" w:rsidRDefault="00A15836" w:rsidP="00A15836">
                            <w:pPr>
                              <w:pStyle w:val="afa"/>
                              <w:widowControl/>
                              <w:numPr>
                                <w:ilvl w:val="1"/>
                                <w:numId w:val="23"/>
                              </w:numPr>
                              <w:spacing w:before="24" w:after="24" w:line="259" w:lineRule="auto"/>
                              <w:ind w:left="1656" w:firstLineChars="0"/>
                              <w:jc w:val="left"/>
                              <w:rPr>
                                <w:lang w:val="en-US"/>
                              </w:rPr>
                            </w:pPr>
                            <w:r w:rsidRPr="009C3D32">
                              <w:rPr>
                                <w:rFonts w:eastAsiaTheme="minorEastAsia"/>
                                <w:lang w:val="en-US"/>
                              </w:rPr>
                              <w:t>FFS it is an implementation issue and no RAN4 standard impact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87.5pt;height:78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">
                <v:textbox>
                  <w:txbxContent>
                    <w:p w:rsidR="00A15836" w:rsidRDefault="00A15836" w:rsidP="00A15836">
                      <w:pPr>
                        <w:pStyle w:val="5"/>
                        <w:ind w:left="864" w:hanging="864"/>
                        <w:rPr>
                          <w:lang w:val="en-US"/>
                        </w:rPr>
                      </w:pPr>
                      <w:r>
                        <w:rPr>
                          <w:lang w:val="en-US"/>
                        </w:rPr>
                        <w:t>Issue 3-1-2: Location of transient period between SBFD and non-SBFD</w:t>
                      </w:r>
                    </w:p>
                    <w:p w:rsidR="00A15836" w:rsidRDefault="00A15836" w:rsidP="00A15836">
                      <w:pPr>
                        <w:spacing w:after="120" w:line="259" w:lineRule="auto"/>
                        <w:rPr>
                          <w:lang w:val="en-US"/>
                        </w:rPr>
                      </w:pPr>
                      <w:r>
                        <w:rPr>
                          <w:lang w:val="en-US"/>
                        </w:rPr>
                        <w:t>Way Forward:</w:t>
                      </w:r>
                    </w:p>
                    <w:p w:rsidR="00A15836" w:rsidRPr="00A15836" w:rsidRDefault="00A15836" w:rsidP="00A15836">
                      <w:pPr>
                        <w:pStyle w:val="afa"/>
                        <w:widowControl/>
                        <w:numPr>
                          <w:ilvl w:val="0"/>
                          <w:numId w:val="23"/>
                        </w:numPr>
                        <w:spacing w:before="24" w:after="24" w:line="259" w:lineRule="auto"/>
                        <w:ind w:left="936" w:firstLineChars="0"/>
                        <w:jc w:val="left"/>
                        <w:rPr>
                          <w:lang w:val="en-US"/>
                        </w:rPr>
                      </w:pPr>
                      <w:r w:rsidRPr="00A15836">
                        <w:rPr>
                          <w:rFonts w:eastAsiaTheme="minorEastAsia"/>
                          <w:lang w:val="en-US"/>
                        </w:rPr>
                        <w:t xml:space="preserve">FFS whether the transmitter transient period shall be located within the SBFD symbol or not: </w:t>
                      </w:r>
                    </w:p>
                    <w:p w:rsidR="00505653" w:rsidRPr="00A15836" w:rsidRDefault="00A15836" w:rsidP="00A15836">
                      <w:pPr>
                        <w:pStyle w:val="afa"/>
                        <w:widowControl/>
                        <w:numPr>
                          <w:ilvl w:val="1"/>
                          <w:numId w:val="23"/>
                        </w:numPr>
                        <w:spacing w:before="24" w:after="24" w:line="259" w:lineRule="auto"/>
                        <w:ind w:left="1656" w:firstLineChars="0"/>
                        <w:jc w:val="left"/>
                        <w:rPr>
                          <w:lang w:val="en-US"/>
                        </w:rPr>
                      </w:pPr>
                      <w:r w:rsidRPr="009C3D32">
                        <w:rPr>
                          <w:rFonts w:eastAsiaTheme="minorEastAsia"/>
                          <w:lang w:val="en-US"/>
                        </w:rPr>
                        <w:t>FFS it is an implementation issue and no RAN4 standard impact</w:t>
                      </w:r>
                    </w:p>
                  </w:txbxContent>
                </v:textbox>
              </v:shape>
            </w:pict>
          </mc:Fallback>
        </mc:AlternateContent>
      </w: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3D2557" w:rsidRPr="00F63E0C" w:rsidRDefault="003D2557" w:rsidP="00326225">
      <w:pPr>
        <w:rPr>
          <w:color w:val="000000" w:themeColor="text1"/>
        </w:rPr>
      </w:pPr>
      <w:r w:rsidRPr="00F63E0C">
        <w:rPr>
          <w:color w:val="000000" w:themeColor="text1"/>
        </w:rPr>
        <w:t xml:space="preserve">To minimize the impact on the </w:t>
      </w:r>
      <w:r w:rsidRPr="00F63E0C">
        <w:rPr>
          <w:rFonts w:hint="eastAsia"/>
          <w:color w:val="000000" w:themeColor="text1"/>
        </w:rPr>
        <w:t>non-SBFD system</w:t>
      </w:r>
      <w:r w:rsidRPr="00F63E0C">
        <w:rPr>
          <w:color w:val="000000" w:themeColor="text1"/>
        </w:rPr>
        <w:t xml:space="preserve">, the transition period between SBFD and non-SBFD should be </w:t>
      </w:r>
      <w:r w:rsidR="00326225" w:rsidRPr="00F63E0C">
        <w:rPr>
          <w:color w:val="000000" w:themeColor="text1"/>
        </w:rPr>
        <w:t>located within the SBFD slot.</w:t>
      </w:r>
    </w:p>
    <w:p w:rsidR="00B72207" w:rsidRPr="00F63E0C" w:rsidRDefault="00B72207" w:rsidP="00B72207">
      <w:pPr>
        <w:rPr>
          <w:b/>
          <w:color w:val="000000" w:themeColor="text1"/>
        </w:rPr>
      </w:pPr>
      <w:r w:rsidRPr="00F63E0C">
        <w:rPr>
          <w:b/>
          <w:color w:val="000000" w:themeColor="text1"/>
          <w:lang w:val="en-US"/>
        </w:rPr>
        <w:t xml:space="preserve">Proposal </w:t>
      </w:r>
      <w:r w:rsidR="00FD1186" w:rsidRPr="00F63E0C">
        <w:rPr>
          <w:rFonts w:hint="eastAsia"/>
          <w:b/>
          <w:color w:val="000000" w:themeColor="text1"/>
          <w:lang w:val="en-US"/>
        </w:rPr>
        <w:t>1</w:t>
      </w:r>
      <w:r w:rsidRPr="00F63E0C">
        <w:rPr>
          <w:b/>
          <w:color w:val="000000" w:themeColor="text1"/>
          <w:lang w:val="en-US"/>
        </w:rPr>
        <w:t>:</w:t>
      </w:r>
      <w:r w:rsidRPr="00F63E0C">
        <w:rPr>
          <w:rFonts w:hint="eastAsia"/>
          <w:b/>
          <w:color w:val="000000" w:themeColor="text1"/>
          <w:lang w:val="en-US"/>
        </w:rPr>
        <w:t xml:space="preserve"> L</w:t>
      </w:r>
      <w:r w:rsidRPr="00F63E0C">
        <w:rPr>
          <w:b/>
          <w:color w:val="000000" w:themeColor="text1"/>
          <w:lang w:val="en-US"/>
        </w:rPr>
        <w:t>ocation of transient period between SBFD and non-SBFD shall be located within the SBFD slot.</w:t>
      </w:r>
    </w:p>
    <w:p w:rsidR="00F87FDA" w:rsidRDefault="002B6840" w:rsidP="00116C1C">
      <w:pPr>
        <w:pStyle w:val="2"/>
        <w:tabs>
          <w:tab w:val="left" w:pos="7000"/>
        </w:tabs>
        <w:jc w:val="left"/>
        <w:rPr>
          <w:color w:val="000000" w:themeColor="text1"/>
        </w:rPr>
      </w:pPr>
      <w:r>
        <w:rPr>
          <w:rFonts w:hint="eastAsia"/>
          <w:color w:val="000000" w:themeColor="text1"/>
        </w:rPr>
        <w:t>2</w:t>
      </w:r>
      <w:r w:rsidR="009839FB" w:rsidRPr="00454B8F">
        <w:rPr>
          <w:rFonts w:hint="eastAsia"/>
          <w:color w:val="000000" w:themeColor="text1"/>
        </w:rPr>
        <w:t>.2</w:t>
      </w:r>
      <w:r w:rsidR="005E7601">
        <w:rPr>
          <w:rFonts w:hint="eastAsia"/>
          <w:color w:val="000000" w:themeColor="text1"/>
        </w:rPr>
        <w:t xml:space="preserve"> </w:t>
      </w:r>
      <w:r>
        <w:rPr>
          <w:rFonts w:hint="eastAsia"/>
          <w:color w:val="000000" w:themeColor="text1"/>
        </w:rPr>
        <w:t>In</w:t>
      </w:r>
      <w:r w:rsidR="00F87FDA">
        <w:rPr>
          <w:rFonts w:hint="eastAsia"/>
          <w:color w:val="000000" w:themeColor="text1"/>
        </w:rPr>
        <w:t>-</w:t>
      </w:r>
      <w:r>
        <w:rPr>
          <w:rFonts w:hint="eastAsia"/>
          <w:color w:val="000000" w:themeColor="text1"/>
        </w:rPr>
        <w:t>channel new requirements</w:t>
      </w:r>
    </w:p>
    <w:p w:rsidR="00116C1C" w:rsidRDefault="00C5603D" w:rsidP="00F87FDA">
      <w:pPr>
        <w:rPr>
          <w:color w:val="000000" w:themeColor="text1"/>
        </w:rPr>
      </w:pPr>
      <w:r>
        <w:rPr>
          <w:color w:val="000000" w:themeColor="text1"/>
        </w:rPr>
        <w:tab/>
      </w:r>
      <w:r w:rsidR="00F87FDA">
        <w:rPr>
          <w:color w:val="000000" w:themeColor="text1"/>
        </w:rPr>
        <w:t>In</w:t>
      </w:r>
      <w:r w:rsidR="00F87FDA">
        <w:rPr>
          <w:rFonts w:hint="eastAsia"/>
          <w:color w:val="000000" w:themeColor="text1"/>
        </w:rPr>
        <w:t xml:space="preserve"> WF [1], some in-channel new requirements need further analysis.</w:t>
      </w:r>
    </w:p>
    <w:p w:rsidR="00AF2F2F" w:rsidRDefault="00116C1C" w:rsidP="00116C1C">
      <w:pPr>
        <w:pStyle w:val="3"/>
        <w:rPr>
          <w:rFonts w:cs="Arial"/>
        </w:rPr>
      </w:pPr>
      <w:r>
        <w:rPr>
          <w:rFonts w:hint="eastAsia"/>
        </w:rPr>
        <w:t xml:space="preserve">2.2.1 </w:t>
      </w:r>
      <w:r w:rsidR="00AF2F2F">
        <w:rPr>
          <w:rFonts w:hint="eastAsia"/>
        </w:rPr>
        <w:t>I</w:t>
      </w:r>
      <w:r w:rsidR="00AF2F2F" w:rsidRPr="003D2557">
        <w:t>n-channel adjacent sub</w:t>
      </w:r>
      <w:r w:rsidR="00AF2F2F">
        <w:rPr>
          <w:rFonts w:hint="eastAsia"/>
        </w:rPr>
        <w:t>-</w:t>
      </w:r>
      <w:r w:rsidR="00AF2F2F" w:rsidRPr="003D2557">
        <w:t>band leakage ratio</w:t>
      </w:r>
      <w:r w:rsidR="00AF2F2F">
        <w:rPr>
          <w:rFonts w:hint="eastAsia"/>
        </w:rPr>
        <w:t xml:space="preserve"> requirement</w:t>
      </w:r>
    </w:p>
    <w:p w:rsidR="00AF2F2F" w:rsidRDefault="00AF2F2F" w:rsidP="001923B9">
      <w:pPr>
        <w:rPr>
          <w:rFonts w:cs="Arial"/>
          <w:color w:val="000000" w:themeColor="text1"/>
        </w:rPr>
      </w:pPr>
      <w:r w:rsidRPr="00AF2F2F">
        <w:rPr>
          <w:rFonts w:cs="Arial"/>
          <w:noProof/>
          <w:color w:val="000000" w:themeColor="text1"/>
          <w:lang w:val="en-US"/>
        </w:rPr>
        <mc:AlternateContent>
          <mc:Choice Requires="wps">
            <w:drawing>
              <wp:anchor distT="0" distB="0" distL="114300" distR="114300" simplePos="0" relativeHeight="251661312" behindDoc="0" locked="0" layoutInCell="1" allowOverlap="1" wp14:anchorId="7754937E" wp14:editId="02AB4E60">
                <wp:simplePos x="0" y="0"/>
                <wp:positionH relativeFrom="column">
                  <wp:posOffset>-3810</wp:posOffset>
                </wp:positionH>
                <wp:positionV relativeFrom="paragraph">
                  <wp:posOffset>-1905</wp:posOffset>
                </wp:positionV>
                <wp:extent cx="6178550" cy="1314450"/>
                <wp:effectExtent l="0" t="0" r="12700" b="19050"/>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1314450"/>
                        </a:xfrm>
                        <a:prstGeom prst="rect">
                          <a:avLst/>
                        </a:prstGeom>
                        <a:solidFill>
                          <a:srgbClr val="FFFFFF"/>
                        </a:solidFill>
                        <a:ln w="9525">
                          <a:solidFill>
                            <a:srgbClr val="000000"/>
                          </a:solidFill>
                          <a:miter lim="800000"/>
                          <a:headEnd/>
                          <a:tailEnd/>
                        </a:ln>
                      </wps:spPr>
                      <wps:txbx>
                        <w:txbxContent>
                          <w:p w:rsidR="00AF2F2F" w:rsidRPr="00AF2F2F" w:rsidRDefault="00AF2F2F" w:rsidP="00AF2F2F">
                            <w:pPr>
                              <w:pStyle w:val="5"/>
                              <w:ind w:left="864" w:hanging="864"/>
                              <w:rPr>
                                <w:rFonts w:eastAsia="Yu Mincho"/>
                                <w:sz w:val="22"/>
                                <w:szCs w:val="14"/>
                                <w:lang w:val="en-US"/>
                              </w:rPr>
                            </w:pPr>
                            <w:r w:rsidRPr="00AF2F2F">
                              <w:rPr>
                                <w:rFonts w:eastAsia="Yu Mincho"/>
                                <w:sz w:val="22"/>
                                <w:szCs w:val="14"/>
                                <w:lang w:val="en-US"/>
                              </w:rPr>
                              <w:t xml:space="preserve">Issue 3-2-1: Necessity of in-channel adjacent subband leakage ratio requirements </w:t>
                            </w:r>
                          </w:p>
                          <w:p w:rsidR="00AF2F2F" w:rsidRPr="00AF2F2F" w:rsidRDefault="00AF2F2F" w:rsidP="00AF2F2F">
                            <w:pPr>
                              <w:overflowPunct/>
                              <w:autoSpaceDE/>
                              <w:autoSpaceDN/>
                              <w:adjustRightInd/>
                              <w:spacing w:before="0" w:after="120" w:line="259" w:lineRule="auto"/>
                              <w:jc w:val="left"/>
                              <w:textAlignment w:val="auto"/>
                              <w:rPr>
                                <w:sz w:val="20"/>
                                <w:szCs w:val="20"/>
                                <w:lang w:eastAsia="en-US"/>
                              </w:rPr>
                            </w:pPr>
                            <w:r w:rsidRPr="00AF2F2F">
                              <w:rPr>
                                <w:rFonts w:hint="eastAsia"/>
                                <w:sz w:val="20"/>
                                <w:szCs w:val="20"/>
                                <w:highlight w:val="green"/>
                                <w:lang w:eastAsia="en-US"/>
                              </w:rPr>
                              <w:t>A</w:t>
                            </w:r>
                            <w:r w:rsidRPr="00AF2F2F">
                              <w:rPr>
                                <w:sz w:val="20"/>
                                <w:szCs w:val="20"/>
                                <w:highlight w:val="green"/>
                                <w:lang w:eastAsia="en-US"/>
                              </w:rPr>
                              <w:t xml:space="preserve">greement: </w:t>
                            </w:r>
                          </w:p>
                          <w:p w:rsidR="00AF2F2F" w:rsidRPr="00AF2F2F" w:rsidRDefault="00AF2F2F" w:rsidP="00AF2F2F">
                            <w:pPr>
                              <w:numPr>
                                <w:ilvl w:val="0"/>
                                <w:numId w:val="23"/>
                              </w:numPr>
                              <w:overflowPunct/>
                              <w:autoSpaceDE/>
                              <w:autoSpaceDN/>
                              <w:adjustRightInd/>
                              <w:spacing w:before="0" w:after="120" w:line="259" w:lineRule="auto"/>
                              <w:ind w:left="936"/>
                              <w:jc w:val="left"/>
                              <w:textAlignment w:val="auto"/>
                              <w:rPr>
                                <w:rFonts w:eastAsia="等线"/>
                                <w:sz w:val="20"/>
                                <w:szCs w:val="20"/>
                                <w:lang w:val="en-US"/>
                              </w:rPr>
                            </w:pPr>
                            <w:r w:rsidRPr="00AF2F2F">
                              <w:rPr>
                                <w:rFonts w:eastAsia="等线"/>
                                <w:sz w:val="20"/>
                                <w:szCs w:val="20"/>
                                <w:lang w:val="en-US"/>
                              </w:rPr>
                              <w:t>New requirement for in-channel adjacent subband leakage ratio should be defined</w:t>
                            </w:r>
                          </w:p>
                          <w:p w:rsidR="00AF2F2F" w:rsidRPr="00AF2F2F" w:rsidRDefault="00AF2F2F" w:rsidP="00AF2F2F">
                            <w:pPr>
                              <w:numPr>
                                <w:ilvl w:val="1"/>
                                <w:numId w:val="23"/>
                              </w:numPr>
                              <w:overflowPunct/>
                              <w:autoSpaceDE/>
                              <w:autoSpaceDN/>
                              <w:adjustRightInd/>
                              <w:spacing w:before="0" w:after="120" w:line="259" w:lineRule="auto"/>
                              <w:ind w:left="1656"/>
                              <w:jc w:val="left"/>
                              <w:textAlignment w:val="auto"/>
                              <w:rPr>
                                <w:rFonts w:eastAsia="等线"/>
                                <w:sz w:val="20"/>
                                <w:szCs w:val="20"/>
                                <w:lang w:val="en-US"/>
                              </w:rPr>
                            </w:pPr>
                            <w:r w:rsidRPr="00AF2F2F">
                              <w:rPr>
                                <w:rFonts w:eastAsia="等线"/>
                                <w:sz w:val="20"/>
                                <w:szCs w:val="20"/>
                                <w:lang w:val="en-US"/>
                              </w:rPr>
                              <w:t>FFS whether the requirement can be defined similar to the ACLR requirement and use existing ACLR requirement as baseline.</w:t>
                            </w:r>
                          </w:p>
                          <w:p w:rsidR="00AF2F2F" w:rsidRPr="00AF2F2F" w:rsidRDefault="00AF2F2F">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pt;margin-top:-.15pt;width:486.5pt;height:1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">
                <v:textbox>
                  <w:txbxContent>
                    <w:p w:rsidR="00AF2F2F" w:rsidRPr="00AF2F2F" w:rsidRDefault="00AF2F2F" w:rsidP="00AF2F2F">
                      <w:pPr>
                        <w:pStyle w:val="5"/>
                        <w:ind w:left="864" w:hanging="864"/>
                        <w:rPr>
                          <w:rFonts w:eastAsia="Yu Mincho"/>
                          <w:sz w:val="22"/>
                          <w:szCs w:val="14"/>
                          <w:lang w:val="en-US"/>
                        </w:rPr>
                      </w:pPr>
                      <w:r w:rsidRPr="00AF2F2F">
                        <w:rPr>
                          <w:rFonts w:eastAsia="Yu Mincho"/>
                          <w:sz w:val="22"/>
                          <w:szCs w:val="14"/>
                          <w:lang w:val="en-US"/>
                        </w:rPr>
                        <w:t xml:space="preserve">Issue 3-2-1: Necessity of in-channel adjacent </w:t>
                      </w:r>
                      <w:proofErr w:type="spellStart"/>
                      <w:r w:rsidRPr="00AF2F2F">
                        <w:rPr>
                          <w:rFonts w:eastAsia="Yu Mincho"/>
                          <w:sz w:val="22"/>
                          <w:szCs w:val="14"/>
                          <w:lang w:val="en-US"/>
                        </w:rPr>
                        <w:t>subband</w:t>
                      </w:r>
                      <w:proofErr w:type="spellEnd"/>
                      <w:r w:rsidRPr="00AF2F2F">
                        <w:rPr>
                          <w:rFonts w:eastAsia="Yu Mincho"/>
                          <w:sz w:val="22"/>
                          <w:szCs w:val="14"/>
                          <w:lang w:val="en-US"/>
                        </w:rPr>
                        <w:t xml:space="preserve"> leakage ratio requirements </w:t>
                      </w:r>
                    </w:p>
                    <w:p w:rsidR="00AF2F2F" w:rsidRPr="00AF2F2F" w:rsidRDefault="00AF2F2F" w:rsidP="00AF2F2F">
                      <w:pPr>
                        <w:overflowPunct/>
                        <w:autoSpaceDE/>
                        <w:autoSpaceDN/>
                        <w:adjustRightInd/>
                        <w:spacing w:before="0" w:after="120" w:line="259" w:lineRule="auto"/>
                        <w:jc w:val="left"/>
                        <w:textAlignment w:val="auto"/>
                        <w:rPr>
                          <w:sz w:val="20"/>
                          <w:szCs w:val="20"/>
                          <w:lang w:eastAsia="en-US"/>
                        </w:rPr>
                      </w:pPr>
                      <w:r w:rsidRPr="00AF2F2F">
                        <w:rPr>
                          <w:rFonts w:hint="eastAsia"/>
                          <w:sz w:val="20"/>
                          <w:szCs w:val="20"/>
                          <w:highlight w:val="green"/>
                          <w:lang w:eastAsia="en-US"/>
                        </w:rPr>
                        <w:t>A</w:t>
                      </w:r>
                      <w:r w:rsidRPr="00AF2F2F">
                        <w:rPr>
                          <w:sz w:val="20"/>
                          <w:szCs w:val="20"/>
                          <w:highlight w:val="green"/>
                          <w:lang w:eastAsia="en-US"/>
                        </w:rPr>
                        <w:t xml:space="preserve">greement: </w:t>
                      </w:r>
                    </w:p>
                    <w:p w:rsidR="00AF2F2F" w:rsidRPr="00AF2F2F" w:rsidRDefault="00AF2F2F" w:rsidP="00AF2F2F">
                      <w:pPr>
                        <w:numPr>
                          <w:ilvl w:val="0"/>
                          <w:numId w:val="23"/>
                        </w:numPr>
                        <w:overflowPunct/>
                        <w:autoSpaceDE/>
                        <w:autoSpaceDN/>
                        <w:adjustRightInd/>
                        <w:spacing w:before="0" w:after="120" w:line="259" w:lineRule="auto"/>
                        <w:ind w:left="936"/>
                        <w:jc w:val="left"/>
                        <w:textAlignment w:val="auto"/>
                        <w:rPr>
                          <w:rFonts w:eastAsia="等线"/>
                          <w:sz w:val="20"/>
                          <w:szCs w:val="20"/>
                          <w:lang w:val="en-US"/>
                        </w:rPr>
                      </w:pPr>
                      <w:r w:rsidRPr="00AF2F2F">
                        <w:rPr>
                          <w:rFonts w:eastAsia="等线"/>
                          <w:sz w:val="20"/>
                          <w:szCs w:val="20"/>
                          <w:lang w:val="en-US"/>
                        </w:rPr>
                        <w:t xml:space="preserve">New requirement for in-channel adjacent </w:t>
                      </w:r>
                      <w:proofErr w:type="spellStart"/>
                      <w:r w:rsidRPr="00AF2F2F">
                        <w:rPr>
                          <w:rFonts w:eastAsia="等线"/>
                          <w:sz w:val="20"/>
                          <w:szCs w:val="20"/>
                          <w:lang w:val="en-US"/>
                        </w:rPr>
                        <w:t>subband</w:t>
                      </w:r>
                      <w:proofErr w:type="spellEnd"/>
                      <w:r w:rsidRPr="00AF2F2F">
                        <w:rPr>
                          <w:rFonts w:eastAsia="等线"/>
                          <w:sz w:val="20"/>
                          <w:szCs w:val="20"/>
                          <w:lang w:val="en-US"/>
                        </w:rPr>
                        <w:t xml:space="preserve"> leakage ratio should be defined</w:t>
                      </w:r>
                    </w:p>
                    <w:p w:rsidR="00AF2F2F" w:rsidRPr="00AF2F2F" w:rsidRDefault="00AF2F2F" w:rsidP="00AF2F2F">
                      <w:pPr>
                        <w:numPr>
                          <w:ilvl w:val="1"/>
                          <w:numId w:val="23"/>
                        </w:numPr>
                        <w:overflowPunct/>
                        <w:autoSpaceDE/>
                        <w:autoSpaceDN/>
                        <w:adjustRightInd/>
                        <w:spacing w:before="0" w:after="120" w:line="259" w:lineRule="auto"/>
                        <w:ind w:left="1656"/>
                        <w:jc w:val="left"/>
                        <w:textAlignment w:val="auto"/>
                        <w:rPr>
                          <w:rFonts w:eastAsia="等线"/>
                          <w:sz w:val="20"/>
                          <w:szCs w:val="20"/>
                          <w:lang w:val="en-US"/>
                        </w:rPr>
                      </w:pPr>
                      <w:r w:rsidRPr="00AF2F2F">
                        <w:rPr>
                          <w:rFonts w:eastAsia="等线"/>
                          <w:sz w:val="20"/>
                          <w:szCs w:val="20"/>
                          <w:lang w:val="en-US"/>
                        </w:rPr>
                        <w:t>FFS whether the requirement can be defined similar to the ACLR requirement and use existing ACLR requirement as baseline.</w:t>
                      </w:r>
                    </w:p>
                    <w:p w:rsidR="00AF2F2F" w:rsidRPr="00AF2F2F" w:rsidRDefault="00AF2F2F">
                      <w:pPr>
                        <w:rPr>
                          <w:lang w:val="en-US"/>
                        </w:rPr>
                      </w:pPr>
                    </w:p>
                  </w:txbxContent>
                </v:textbox>
              </v:shape>
            </w:pict>
          </mc:Fallback>
        </mc:AlternateContent>
      </w: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A15836" w:rsidRPr="00F63E0C" w:rsidRDefault="00274421" w:rsidP="001923B9">
      <w:pPr>
        <w:rPr>
          <w:b/>
          <w:color w:val="000000" w:themeColor="text1"/>
          <w:lang w:val="en-US"/>
        </w:rPr>
      </w:pPr>
      <w:r w:rsidRPr="00F63E0C">
        <w:rPr>
          <w:rFonts w:cs="Arial" w:hint="eastAsia"/>
          <w:color w:val="000000" w:themeColor="text1"/>
        </w:rPr>
        <w:t xml:space="preserve">OTA sensitivity only consider </w:t>
      </w:r>
      <w:r w:rsidR="00B246E3" w:rsidRPr="00F63E0C">
        <w:rPr>
          <w:rFonts w:cs="Arial" w:hint="eastAsia"/>
          <w:color w:val="000000" w:themeColor="text1"/>
        </w:rPr>
        <w:t>s</w:t>
      </w:r>
      <w:r w:rsidRPr="00F63E0C">
        <w:rPr>
          <w:rFonts w:cs="Arial" w:hint="eastAsia"/>
          <w:color w:val="000000" w:themeColor="text1"/>
        </w:rPr>
        <w:t xml:space="preserve">elf-interference, the interference from </w:t>
      </w:r>
      <w:r w:rsidR="00B246E3" w:rsidRPr="00F63E0C">
        <w:rPr>
          <w:color w:val="000000" w:themeColor="text1"/>
          <w:lang w:val="en-US"/>
        </w:rPr>
        <w:t>inter-sector</w:t>
      </w:r>
      <w:r w:rsidR="00B246E3" w:rsidRPr="00F63E0C">
        <w:rPr>
          <w:rFonts w:hint="eastAsia"/>
          <w:color w:val="000000" w:themeColor="text1"/>
          <w:lang w:val="en-US"/>
        </w:rPr>
        <w:t>s BSs and</w:t>
      </w:r>
      <w:r w:rsidR="00B246E3" w:rsidRPr="00F63E0C">
        <w:rPr>
          <w:color w:val="000000" w:themeColor="text1"/>
          <w:lang w:val="en-US"/>
        </w:rPr>
        <w:t xml:space="preserve"> i</w:t>
      </w:r>
      <w:r w:rsidRPr="00F63E0C">
        <w:rPr>
          <w:color w:val="000000" w:themeColor="text1"/>
          <w:lang w:val="en-US"/>
        </w:rPr>
        <w:t xml:space="preserve">nter-site </w:t>
      </w:r>
      <w:r w:rsidR="00B246E3" w:rsidRPr="00F63E0C">
        <w:rPr>
          <w:rFonts w:hint="eastAsia"/>
          <w:color w:val="000000" w:themeColor="text1"/>
          <w:lang w:val="en-US"/>
        </w:rPr>
        <w:t xml:space="preserve">BSs can be considered by define </w:t>
      </w:r>
      <w:r w:rsidR="00B246E3" w:rsidRPr="00F63E0C">
        <w:rPr>
          <w:rFonts w:hint="eastAsia"/>
          <w:color w:val="000000" w:themeColor="text1"/>
        </w:rPr>
        <w:t>i</w:t>
      </w:r>
      <w:r w:rsidR="00B246E3" w:rsidRPr="00F63E0C">
        <w:rPr>
          <w:color w:val="000000" w:themeColor="text1"/>
        </w:rPr>
        <w:t>n-channel adjacent sub</w:t>
      </w:r>
      <w:r w:rsidR="00B246E3" w:rsidRPr="00F63E0C">
        <w:rPr>
          <w:rFonts w:hint="eastAsia"/>
          <w:color w:val="000000" w:themeColor="text1"/>
        </w:rPr>
        <w:t>-</w:t>
      </w:r>
      <w:r w:rsidR="00B246E3" w:rsidRPr="00F63E0C">
        <w:rPr>
          <w:color w:val="000000" w:themeColor="text1"/>
        </w:rPr>
        <w:t>band leakage ratio</w:t>
      </w:r>
      <w:r w:rsidR="00B246E3" w:rsidRPr="00F63E0C">
        <w:rPr>
          <w:rFonts w:hint="eastAsia"/>
          <w:color w:val="000000" w:themeColor="text1"/>
        </w:rPr>
        <w:t xml:space="preserve"> </w:t>
      </w:r>
      <w:r w:rsidR="00E026E7" w:rsidRPr="00F63E0C">
        <w:rPr>
          <w:rFonts w:hint="eastAsia"/>
          <w:color w:val="000000" w:themeColor="text1"/>
        </w:rPr>
        <w:t xml:space="preserve">requirement </w:t>
      </w:r>
      <w:r w:rsidR="00B246E3" w:rsidRPr="00F63E0C">
        <w:rPr>
          <w:rFonts w:hint="eastAsia"/>
          <w:color w:val="000000" w:themeColor="text1"/>
        </w:rPr>
        <w:t xml:space="preserve">and </w:t>
      </w:r>
      <w:r w:rsidR="00B246E3" w:rsidRPr="00F63E0C">
        <w:rPr>
          <w:color w:val="000000" w:themeColor="text1"/>
        </w:rPr>
        <w:tab/>
      </w:r>
      <w:r w:rsidR="00B246E3" w:rsidRPr="00F63E0C">
        <w:rPr>
          <w:rFonts w:hint="eastAsia"/>
          <w:color w:val="000000" w:themeColor="text1"/>
        </w:rPr>
        <w:t>i</w:t>
      </w:r>
      <w:r w:rsidR="00B246E3" w:rsidRPr="00F63E0C">
        <w:rPr>
          <w:color w:val="000000" w:themeColor="text1"/>
        </w:rPr>
        <w:t>n-channel adjacent sub</w:t>
      </w:r>
      <w:r w:rsidR="00B246E3" w:rsidRPr="00F63E0C">
        <w:rPr>
          <w:rFonts w:hint="eastAsia"/>
          <w:color w:val="000000" w:themeColor="text1"/>
        </w:rPr>
        <w:t>-</w:t>
      </w:r>
      <w:r w:rsidR="00B246E3" w:rsidRPr="00F63E0C">
        <w:rPr>
          <w:color w:val="000000" w:themeColor="text1"/>
        </w:rPr>
        <w:t>band selectivity</w:t>
      </w:r>
      <w:r w:rsidR="00B246E3" w:rsidRPr="00F63E0C">
        <w:rPr>
          <w:rFonts w:hint="eastAsia"/>
          <w:color w:val="000000" w:themeColor="text1"/>
        </w:rPr>
        <w:t xml:space="preserve"> requirement. </w:t>
      </w:r>
    </w:p>
    <w:p w:rsidR="00116C1C" w:rsidRPr="00F63E0C" w:rsidRDefault="00B246E3" w:rsidP="001923B9">
      <w:pPr>
        <w:rPr>
          <w:color w:val="000000" w:themeColor="text1"/>
        </w:rPr>
      </w:pPr>
      <w:r w:rsidRPr="00F63E0C">
        <w:rPr>
          <w:rFonts w:hint="eastAsia"/>
          <w:color w:val="000000" w:themeColor="text1"/>
          <w:lang w:val="en-US"/>
        </w:rPr>
        <w:t>The</w:t>
      </w:r>
      <w:r w:rsidRPr="00F63E0C">
        <w:rPr>
          <w:rFonts w:hint="eastAsia"/>
          <w:b/>
          <w:color w:val="000000" w:themeColor="text1"/>
          <w:lang w:val="en-US"/>
        </w:rPr>
        <w:t xml:space="preserve"> </w:t>
      </w:r>
      <w:r w:rsidRPr="00F63E0C">
        <w:rPr>
          <w:rFonts w:hint="eastAsia"/>
          <w:color w:val="000000" w:themeColor="text1"/>
        </w:rPr>
        <w:t>i</w:t>
      </w:r>
      <w:r w:rsidRPr="00F63E0C">
        <w:rPr>
          <w:color w:val="000000" w:themeColor="text1"/>
        </w:rPr>
        <w:t>n-channel adjacent sub</w:t>
      </w:r>
      <w:r w:rsidRPr="00F63E0C">
        <w:rPr>
          <w:rFonts w:hint="eastAsia"/>
          <w:color w:val="000000" w:themeColor="text1"/>
        </w:rPr>
        <w:t>-</w:t>
      </w:r>
      <w:r w:rsidRPr="00F63E0C">
        <w:rPr>
          <w:color w:val="000000" w:themeColor="text1"/>
        </w:rPr>
        <w:t>band leakage ratio</w:t>
      </w:r>
      <w:r w:rsidRPr="00F63E0C">
        <w:rPr>
          <w:rFonts w:hint="eastAsia"/>
          <w:color w:val="000000" w:themeColor="text1"/>
        </w:rPr>
        <w:t xml:space="preserve"> requirement can be </w:t>
      </w:r>
      <w:r w:rsidRPr="00F63E0C">
        <w:rPr>
          <w:color w:val="000000" w:themeColor="text1"/>
        </w:rPr>
        <w:t>defined similar to the ACLR requirement and use existing ACLR requirement as baseline.</w:t>
      </w:r>
    </w:p>
    <w:p w:rsidR="00E026E7" w:rsidRPr="00F63E0C" w:rsidRDefault="00E026E7" w:rsidP="001923B9">
      <w:pPr>
        <w:rPr>
          <w:color w:val="000000" w:themeColor="text1"/>
        </w:rPr>
      </w:pPr>
      <w:r w:rsidRPr="00F63E0C">
        <w:rPr>
          <w:b/>
          <w:color w:val="000000" w:themeColor="text1"/>
          <w:lang w:val="en-US"/>
        </w:rPr>
        <w:t xml:space="preserve">Proposal </w:t>
      </w:r>
      <w:r w:rsidRPr="00F63E0C">
        <w:rPr>
          <w:rFonts w:hint="eastAsia"/>
          <w:b/>
          <w:color w:val="000000" w:themeColor="text1"/>
          <w:lang w:val="en-US"/>
        </w:rPr>
        <w:t>2</w:t>
      </w:r>
      <w:r w:rsidRPr="00F63E0C">
        <w:rPr>
          <w:b/>
          <w:color w:val="000000" w:themeColor="text1"/>
          <w:lang w:val="en-US"/>
        </w:rPr>
        <w:t>:</w:t>
      </w:r>
      <w:r w:rsidRPr="00F63E0C">
        <w:rPr>
          <w:rFonts w:hint="eastAsia"/>
          <w:b/>
          <w:color w:val="000000" w:themeColor="text1"/>
          <w:lang w:val="en-US"/>
        </w:rPr>
        <w:t xml:space="preserve"> </w:t>
      </w:r>
      <w:r w:rsidRPr="00F63E0C">
        <w:rPr>
          <w:b/>
          <w:color w:val="000000" w:themeColor="text1"/>
          <w:lang w:val="en-US"/>
        </w:rPr>
        <w:t>The in-channel adjacent sub-band leakage ratio requirement can be defined similar to the ACLR requirement and use existing ACLR requirement as baseline.</w:t>
      </w:r>
    </w:p>
    <w:p w:rsidR="00E026E7" w:rsidRDefault="00E026E7" w:rsidP="001923B9">
      <w:pPr>
        <w:rPr>
          <w:color w:val="000000" w:themeColor="text1"/>
        </w:rPr>
      </w:pPr>
    </w:p>
    <w:p w:rsidR="00A15836" w:rsidRDefault="00116C1C" w:rsidP="001923B9">
      <w:pPr>
        <w:rPr>
          <w:b/>
          <w:color w:val="000000" w:themeColor="text1"/>
          <w:lang w:val="en-US"/>
        </w:rPr>
      </w:pPr>
      <w:r w:rsidRPr="00AF2F2F">
        <w:rPr>
          <w:rFonts w:cs="Arial"/>
          <w:noProof/>
          <w:color w:val="000000" w:themeColor="text1"/>
          <w:lang w:val="en-US"/>
        </w:rPr>
        <w:lastRenderedPageBreak/>
        <mc:AlternateContent>
          <mc:Choice Requires="wps">
            <w:drawing>
              <wp:anchor distT="0" distB="0" distL="114300" distR="114300" simplePos="0" relativeHeight="251663360" behindDoc="0" locked="0" layoutInCell="1" allowOverlap="1" wp14:anchorId="1A179610" wp14:editId="15E4A0CF">
                <wp:simplePos x="0" y="0"/>
                <wp:positionH relativeFrom="column">
                  <wp:posOffset>-21590</wp:posOffset>
                </wp:positionH>
                <wp:positionV relativeFrom="paragraph">
                  <wp:posOffset>71120</wp:posOffset>
                </wp:positionV>
                <wp:extent cx="6178550" cy="2527300"/>
                <wp:effectExtent l="0" t="0" r="12700" b="2540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2527300"/>
                        </a:xfrm>
                        <a:prstGeom prst="rect">
                          <a:avLst/>
                        </a:prstGeom>
                        <a:solidFill>
                          <a:srgbClr val="FFFFFF"/>
                        </a:solidFill>
                        <a:ln w="9525">
                          <a:solidFill>
                            <a:srgbClr val="000000"/>
                          </a:solidFill>
                          <a:miter lim="800000"/>
                          <a:headEnd/>
                          <a:tailEnd/>
                        </a:ln>
                      </wps:spPr>
                      <wps:txbx>
                        <w:txbxContent>
                          <w:p w:rsidR="00116C1C" w:rsidRDefault="00116C1C" w:rsidP="00116C1C">
                            <w:pPr>
                              <w:pStyle w:val="5"/>
                              <w:ind w:left="864" w:hanging="864"/>
                              <w:rPr>
                                <w:lang w:val="en-US"/>
                              </w:rPr>
                            </w:pPr>
                            <w:r>
                              <w:rPr>
                                <w:lang w:val="en-US"/>
                              </w:rPr>
                              <w:t>Issue 3-3-2: Necessity of in-channel adjacent subband blocking requirement</w:t>
                            </w:r>
                          </w:p>
                          <w:p w:rsidR="00116C1C" w:rsidRDefault="00116C1C" w:rsidP="00116C1C">
                            <w:pPr>
                              <w:spacing w:after="120" w:line="259" w:lineRule="auto"/>
                            </w:pPr>
                            <w:r w:rsidRPr="00AA276C">
                              <w:rPr>
                                <w:highlight w:val="green"/>
                              </w:rPr>
                              <w:t xml:space="preserve">Agreement: </w:t>
                            </w:r>
                          </w:p>
                          <w:p w:rsidR="00116C1C" w:rsidRPr="00E026E7" w:rsidRDefault="00116C1C" w:rsidP="00116C1C">
                            <w:pPr>
                              <w:pStyle w:val="afa"/>
                              <w:widowControl/>
                              <w:numPr>
                                <w:ilvl w:val="0"/>
                                <w:numId w:val="23"/>
                              </w:numPr>
                              <w:spacing w:before="24" w:after="24" w:line="259" w:lineRule="auto"/>
                              <w:ind w:left="936" w:firstLineChars="0"/>
                              <w:jc w:val="left"/>
                              <w:rPr>
                                <w:rFonts w:eastAsiaTheme="minorEastAsia"/>
                                <w:lang w:val="en-US"/>
                              </w:rPr>
                            </w:pPr>
                            <w:r w:rsidRPr="00E026E7">
                              <w:rPr>
                                <w:rFonts w:eastAsiaTheme="minorEastAsia"/>
                                <w:lang w:val="en-US"/>
                              </w:rPr>
                              <w:t>New requirement for in-channel adjacent subband blocking should be defined</w:t>
                            </w:r>
                          </w:p>
                          <w:p w:rsidR="00116C1C" w:rsidRPr="00E1077A" w:rsidRDefault="00116C1C" w:rsidP="00116C1C">
                            <w:pPr>
                              <w:pStyle w:val="afa"/>
                              <w:widowControl/>
                              <w:numPr>
                                <w:ilvl w:val="1"/>
                                <w:numId w:val="23"/>
                              </w:numPr>
                              <w:spacing w:before="24" w:after="24" w:line="259" w:lineRule="auto"/>
                              <w:ind w:left="1656" w:firstLineChars="0"/>
                              <w:jc w:val="left"/>
                              <w:rPr>
                                <w:rFonts w:eastAsiaTheme="minorEastAsia"/>
                                <w:lang w:val="en-US"/>
                              </w:rPr>
                            </w:pPr>
                            <w:r w:rsidRPr="00E1077A">
                              <w:rPr>
                                <w:rFonts w:eastAsiaTheme="minorEastAsia"/>
                                <w:lang w:val="en-US"/>
                              </w:rPr>
                              <w:t xml:space="preserve">FFS the impact of in-channel interference source(s), with and without gNB-to-gNB CLI handling schemes, based on reasonable expected gNB-to-gNB isolation. </w:t>
                            </w:r>
                          </w:p>
                          <w:p w:rsidR="00116C1C" w:rsidRPr="00E1077A" w:rsidRDefault="00116C1C" w:rsidP="00116C1C">
                            <w:pPr>
                              <w:pStyle w:val="afa"/>
                              <w:widowControl/>
                              <w:numPr>
                                <w:ilvl w:val="1"/>
                                <w:numId w:val="23"/>
                              </w:numPr>
                              <w:spacing w:before="24" w:after="24" w:line="259" w:lineRule="auto"/>
                              <w:ind w:left="1656" w:firstLineChars="0"/>
                              <w:jc w:val="left"/>
                              <w:rPr>
                                <w:rFonts w:eastAsiaTheme="minorEastAsia"/>
                                <w:lang w:val="en-US"/>
                              </w:rPr>
                            </w:pPr>
                            <w:r w:rsidRPr="00E1077A">
                              <w:rPr>
                                <w:rFonts w:eastAsiaTheme="minorEastAsia" w:hint="eastAsia"/>
                                <w:lang w:val="en-US"/>
                              </w:rPr>
                              <w:t>F</w:t>
                            </w:r>
                            <w:r w:rsidRPr="00E1077A">
                              <w:rPr>
                                <w:rFonts w:eastAsiaTheme="minorEastAsia"/>
                                <w:lang w:val="en-US"/>
                              </w:rPr>
                              <w:t xml:space="preserve">FS in-channel selectivity (ICS) requirement can cover in-channel adjacent subband blocking requirement.  </w:t>
                            </w:r>
                          </w:p>
                          <w:p w:rsidR="00116C1C" w:rsidRPr="00E1077A" w:rsidRDefault="00116C1C" w:rsidP="00116C1C">
                            <w:pPr>
                              <w:pStyle w:val="afa"/>
                              <w:widowControl/>
                              <w:numPr>
                                <w:ilvl w:val="1"/>
                                <w:numId w:val="23"/>
                              </w:numPr>
                              <w:spacing w:before="24" w:after="24" w:line="259" w:lineRule="auto"/>
                              <w:ind w:left="1656" w:firstLineChars="0"/>
                              <w:jc w:val="left"/>
                              <w:rPr>
                                <w:rFonts w:eastAsiaTheme="minorEastAsia"/>
                                <w:lang w:val="en-US"/>
                              </w:rPr>
                            </w:pPr>
                            <w:r w:rsidRPr="00E1077A">
                              <w:rPr>
                                <w:rFonts w:eastAsiaTheme="minorEastAsia" w:hint="eastAsia"/>
                                <w:lang w:val="en-US"/>
                              </w:rPr>
                              <w:t>T</w:t>
                            </w:r>
                            <w:r w:rsidRPr="00E1077A">
                              <w:rPr>
                                <w:rFonts w:eastAsiaTheme="minorEastAsia"/>
                                <w:lang w:val="en-US"/>
                              </w:rPr>
                              <w:t xml:space="preserve">he requirement level shall be driven by feasibility consideration. </w:t>
                            </w:r>
                          </w:p>
                          <w:p w:rsidR="00116C1C" w:rsidRDefault="00116C1C" w:rsidP="00116C1C">
                            <w:pPr>
                              <w:pStyle w:val="5"/>
                              <w:ind w:left="864" w:hanging="864"/>
                              <w:rPr>
                                <w:lang w:val="en-US"/>
                              </w:rPr>
                            </w:pPr>
                            <w:r>
                              <w:rPr>
                                <w:lang w:val="en-US"/>
                              </w:rPr>
                              <w:t xml:space="preserve">Issue 3-3-1: Necessity of in-channel adjacent subband selectivity requirements </w:t>
                            </w:r>
                          </w:p>
                          <w:p w:rsidR="00116C1C" w:rsidRDefault="00116C1C" w:rsidP="00116C1C">
                            <w:pPr>
                              <w:spacing w:after="120" w:line="259" w:lineRule="auto"/>
                            </w:pPr>
                            <w:r w:rsidRPr="00AA276C">
                              <w:rPr>
                                <w:rFonts w:hint="eastAsia"/>
                                <w:highlight w:val="green"/>
                              </w:rPr>
                              <w:t>A</w:t>
                            </w:r>
                            <w:r w:rsidRPr="00AA276C">
                              <w:rPr>
                                <w:highlight w:val="green"/>
                              </w:rPr>
                              <w:t xml:space="preserve">greement: </w:t>
                            </w:r>
                          </w:p>
                          <w:p w:rsidR="00116C1C" w:rsidRPr="00E026E7" w:rsidRDefault="00116C1C" w:rsidP="00116C1C">
                            <w:pPr>
                              <w:pStyle w:val="afa"/>
                              <w:widowControl/>
                              <w:numPr>
                                <w:ilvl w:val="0"/>
                                <w:numId w:val="23"/>
                              </w:numPr>
                              <w:spacing w:before="24" w:after="24" w:line="259" w:lineRule="auto"/>
                              <w:ind w:left="936" w:firstLineChars="0"/>
                              <w:jc w:val="left"/>
                              <w:rPr>
                                <w:rFonts w:eastAsiaTheme="minorEastAsia"/>
                                <w:lang w:val="en-US"/>
                              </w:rPr>
                            </w:pPr>
                            <w:r w:rsidRPr="00E026E7">
                              <w:rPr>
                                <w:rFonts w:eastAsiaTheme="minorEastAsia"/>
                                <w:lang w:val="en-US"/>
                              </w:rPr>
                              <w:t>No necessity to introduce the new requirement for in-channel adjacent subband selectivity.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1.7pt;margin-top:5.6pt;width:486.5pt;height:1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">
                <v:textbox>
                  <w:txbxContent>
                    <w:p w:rsidR="00116C1C" w:rsidRDefault="00116C1C" w:rsidP="00116C1C">
                      <w:pPr>
                        <w:pStyle w:val="5"/>
                        <w:ind w:left="864" w:hanging="864"/>
                        <w:rPr>
                          <w:lang w:val="en-US"/>
                        </w:rPr>
                      </w:pPr>
                      <w:r>
                        <w:rPr>
                          <w:lang w:val="en-US"/>
                        </w:rPr>
                        <w:t>Issue 3-3-2: Necessity of in-channel adjacent subband blocking requirement</w:t>
                      </w:r>
                    </w:p>
                    <w:p w:rsidR="00116C1C" w:rsidRDefault="00116C1C" w:rsidP="00116C1C">
                      <w:pPr>
                        <w:spacing w:after="120" w:line="259" w:lineRule="auto"/>
                      </w:pPr>
                      <w:r w:rsidRPr="00AA276C">
                        <w:rPr>
                          <w:highlight w:val="green"/>
                        </w:rPr>
                        <w:t xml:space="preserve">Agreement: </w:t>
                      </w:r>
                    </w:p>
                    <w:p w:rsidR="00116C1C" w:rsidRPr="00E026E7" w:rsidRDefault="00116C1C" w:rsidP="00116C1C">
                      <w:pPr>
                        <w:pStyle w:val="afa"/>
                        <w:widowControl/>
                        <w:numPr>
                          <w:ilvl w:val="0"/>
                          <w:numId w:val="23"/>
                        </w:numPr>
                        <w:spacing w:before="24" w:after="24" w:line="259" w:lineRule="auto"/>
                        <w:ind w:left="936" w:firstLineChars="0"/>
                        <w:jc w:val="left"/>
                        <w:rPr>
                          <w:rFonts w:eastAsiaTheme="minorEastAsia"/>
                          <w:lang w:val="en-US"/>
                        </w:rPr>
                      </w:pPr>
                      <w:r w:rsidRPr="00E026E7">
                        <w:rPr>
                          <w:rFonts w:eastAsiaTheme="minorEastAsia"/>
                          <w:lang w:val="en-US"/>
                        </w:rPr>
                        <w:t>New requirement for in-channel adjacent subband blocking should be defined</w:t>
                      </w:r>
                    </w:p>
                    <w:p w:rsidR="00116C1C" w:rsidRPr="00E1077A" w:rsidRDefault="00116C1C" w:rsidP="00116C1C">
                      <w:pPr>
                        <w:pStyle w:val="afa"/>
                        <w:widowControl/>
                        <w:numPr>
                          <w:ilvl w:val="1"/>
                          <w:numId w:val="23"/>
                        </w:numPr>
                        <w:spacing w:before="24" w:after="24" w:line="259" w:lineRule="auto"/>
                        <w:ind w:left="1656" w:firstLineChars="0"/>
                        <w:jc w:val="left"/>
                        <w:rPr>
                          <w:rFonts w:eastAsiaTheme="minorEastAsia"/>
                          <w:lang w:val="en-US"/>
                        </w:rPr>
                      </w:pPr>
                      <w:r w:rsidRPr="00E1077A">
                        <w:rPr>
                          <w:rFonts w:eastAsiaTheme="minorEastAsia"/>
                          <w:lang w:val="en-US"/>
                        </w:rPr>
                        <w:t xml:space="preserve">FFS the impact of in-channel interference source(s), with and without gNB-to-gNB CLI handling schemes, based on reasonable expected gNB-to-gNB isolation. </w:t>
                      </w:r>
                    </w:p>
                    <w:p w:rsidR="00116C1C" w:rsidRPr="00E1077A" w:rsidRDefault="00116C1C" w:rsidP="00116C1C">
                      <w:pPr>
                        <w:pStyle w:val="afa"/>
                        <w:widowControl/>
                        <w:numPr>
                          <w:ilvl w:val="1"/>
                          <w:numId w:val="23"/>
                        </w:numPr>
                        <w:spacing w:before="24" w:after="24" w:line="259" w:lineRule="auto"/>
                        <w:ind w:left="1656" w:firstLineChars="0"/>
                        <w:jc w:val="left"/>
                        <w:rPr>
                          <w:rFonts w:eastAsiaTheme="minorEastAsia"/>
                          <w:lang w:val="en-US"/>
                        </w:rPr>
                      </w:pPr>
                      <w:r w:rsidRPr="00E1077A">
                        <w:rPr>
                          <w:rFonts w:eastAsiaTheme="minorEastAsia" w:hint="eastAsia"/>
                          <w:lang w:val="en-US"/>
                        </w:rPr>
                        <w:t>F</w:t>
                      </w:r>
                      <w:r w:rsidRPr="00E1077A">
                        <w:rPr>
                          <w:rFonts w:eastAsiaTheme="minorEastAsia"/>
                          <w:lang w:val="en-US"/>
                        </w:rPr>
                        <w:t xml:space="preserve">FS in-channel selectivity (ICS) requirement can cover in-channel adjacent subband blocking requirement.  </w:t>
                      </w:r>
                    </w:p>
                    <w:p w:rsidR="00116C1C" w:rsidRPr="00E1077A" w:rsidRDefault="00116C1C" w:rsidP="00116C1C">
                      <w:pPr>
                        <w:pStyle w:val="afa"/>
                        <w:widowControl/>
                        <w:numPr>
                          <w:ilvl w:val="1"/>
                          <w:numId w:val="23"/>
                        </w:numPr>
                        <w:spacing w:before="24" w:after="24" w:line="259" w:lineRule="auto"/>
                        <w:ind w:left="1656" w:firstLineChars="0"/>
                        <w:jc w:val="left"/>
                        <w:rPr>
                          <w:rFonts w:eastAsiaTheme="minorEastAsia"/>
                          <w:lang w:val="en-US"/>
                        </w:rPr>
                      </w:pPr>
                      <w:r w:rsidRPr="00E1077A">
                        <w:rPr>
                          <w:rFonts w:eastAsiaTheme="minorEastAsia" w:hint="eastAsia"/>
                          <w:lang w:val="en-US"/>
                        </w:rPr>
                        <w:t>T</w:t>
                      </w:r>
                      <w:r w:rsidRPr="00E1077A">
                        <w:rPr>
                          <w:rFonts w:eastAsiaTheme="minorEastAsia"/>
                          <w:lang w:val="en-US"/>
                        </w:rPr>
                        <w:t xml:space="preserve">he requirement level shall be driven by feasibility consideration. </w:t>
                      </w:r>
                    </w:p>
                    <w:p w:rsidR="00116C1C" w:rsidRDefault="00116C1C" w:rsidP="00116C1C">
                      <w:pPr>
                        <w:pStyle w:val="5"/>
                        <w:ind w:left="864" w:hanging="864"/>
                        <w:rPr>
                          <w:lang w:val="en-US"/>
                        </w:rPr>
                      </w:pPr>
                      <w:r>
                        <w:rPr>
                          <w:lang w:val="en-US"/>
                        </w:rPr>
                        <w:t xml:space="preserve">Issue 3-3-1: Necessity of in-channel adjacent subband selectivity requirements </w:t>
                      </w:r>
                    </w:p>
                    <w:p w:rsidR="00116C1C" w:rsidRDefault="00116C1C" w:rsidP="00116C1C">
                      <w:pPr>
                        <w:spacing w:after="120" w:line="259" w:lineRule="auto"/>
                      </w:pPr>
                      <w:r w:rsidRPr="00AA276C">
                        <w:rPr>
                          <w:rFonts w:hint="eastAsia"/>
                          <w:highlight w:val="green"/>
                        </w:rPr>
                        <w:t>A</w:t>
                      </w:r>
                      <w:r w:rsidRPr="00AA276C">
                        <w:rPr>
                          <w:highlight w:val="green"/>
                        </w:rPr>
                        <w:t xml:space="preserve">greement: </w:t>
                      </w:r>
                    </w:p>
                    <w:p w:rsidR="00116C1C" w:rsidRPr="00E026E7" w:rsidRDefault="00116C1C" w:rsidP="00116C1C">
                      <w:pPr>
                        <w:pStyle w:val="afa"/>
                        <w:widowControl/>
                        <w:numPr>
                          <w:ilvl w:val="0"/>
                          <w:numId w:val="23"/>
                        </w:numPr>
                        <w:spacing w:before="24" w:after="24" w:line="259" w:lineRule="auto"/>
                        <w:ind w:left="936" w:firstLineChars="0"/>
                        <w:jc w:val="left"/>
                        <w:rPr>
                          <w:rFonts w:eastAsiaTheme="minorEastAsia"/>
                          <w:lang w:val="en-US"/>
                        </w:rPr>
                      </w:pPr>
                      <w:r w:rsidRPr="00E026E7">
                        <w:rPr>
                          <w:rFonts w:eastAsiaTheme="minorEastAsia"/>
                          <w:lang w:val="en-US"/>
                        </w:rPr>
                        <w:t>No necessity to introduce the new requirement for in-channel adjacent subband selectivity.</w:t>
                      </w:r>
                    </w:p>
                  </w:txbxContent>
                </v:textbox>
              </v:shape>
            </w:pict>
          </mc:Fallback>
        </mc:AlternateContent>
      </w:r>
    </w:p>
    <w:p w:rsidR="00A15836" w:rsidRDefault="00A15836" w:rsidP="001923B9">
      <w:pPr>
        <w:rPr>
          <w:b/>
          <w:color w:val="000000" w:themeColor="text1"/>
          <w:lang w:val="en-US"/>
        </w:rPr>
      </w:pPr>
    </w:p>
    <w:p w:rsidR="00A15836" w:rsidRPr="00AF2F2F" w:rsidRDefault="00A15836" w:rsidP="001923B9">
      <w:pPr>
        <w:rPr>
          <w:b/>
          <w:color w:val="000000" w:themeColor="text1"/>
          <w:lang w:val="en-US"/>
        </w:rPr>
      </w:pPr>
    </w:p>
    <w:p w:rsidR="00A15836" w:rsidRDefault="00A15836" w:rsidP="001923B9">
      <w:pPr>
        <w:rPr>
          <w:b/>
          <w:color w:val="000000" w:themeColor="text1"/>
          <w:lang w:val="en-US"/>
        </w:rPr>
      </w:pPr>
    </w:p>
    <w:p w:rsidR="00A15836" w:rsidRDefault="00A15836" w:rsidP="001923B9">
      <w:pPr>
        <w:rPr>
          <w:b/>
          <w:color w:val="000000" w:themeColor="text1"/>
          <w:lang w:val="en-US"/>
        </w:rPr>
      </w:pPr>
    </w:p>
    <w:p w:rsidR="00A15836" w:rsidRDefault="00A15836" w:rsidP="001923B9">
      <w:pPr>
        <w:rPr>
          <w:b/>
          <w:color w:val="000000" w:themeColor="text1"/>
          <w:lang w:val="en-US"/>
        </w:rPr>
      </w:pPr>
    </w:p>
    <w:p w:rsidR="00A15836" w:rsidRDefault="00A15836" w:rsidP="001923B9">
      <w:pPr>
        <w:rPr>
          <w:b/>
          <w:color w:val="000000" w:themeColor="text1"/>
          <w:lang w:val="en-US"/>
        </w:rPr>
      </w:pPr>
    </w:p>
    <w:p w:rsidR="00A15836" w:rsidRDefault="00A15836" w:rsidP="001923B9">
      <w:pPr>
        <w:rPr>
          <w:b/>
          <w:color w:val="000000" w:themeColor="text1"/>
          <w:lang w:val="en-US"/>
        </w:rPr>
      </w:pPr>
    </w:p>
    <w:p w:rsidR="00A15836" w:rsidRDefault="00A15836" w:rsidP="001923B9">
      <w:pPr>
        <w:rPr>
          <w:b/>
          <w:color w:val="000000" w:themeColor="text1"/>
          <w:lang w:val="en-US"/>
        </w:rPr>
      </w:pPr>
    </w:p>
    <w:p w:rsidR="00116C1C" w:rsidRDefault="00116C1C" w:rsidP="00116C1C">
      <w:pPr>
        <w:rPr>
          <w:color w:val="000000" w:themeColor="text1"/>
          <w:lang w:val="en-US"/>
        </w:rPr>
      </w:pPr>
      <w:bookmarkStart w:id="2" w:name="_GoBack"/>
      <w:bookmarkEnd w:id="2"/>
    </w:p>
    <w:p w:rsidR="00116C1C" w:rsidRDefault="00116C1C" w:rsidP="00116C1C">
      <w:pPr>
        <w:rPr>
          <w:color w:val="000000" w:themeColor="text1"/>
          <w:lang w:val="en-US"/>
        </w:rPr>
      </w:pPr>
    </w:p>
    <w:p w:rsidR="00116C1C" w:rsidRDefault="00116C1C" w:rsidP="00116C1C">
      <w:pPr>
        <w:rPr>
          <w:color w:val="000000" w:themeColor="text1"/>
          <w:lang w:val="en-US"/>
        </w:rPr>
      </w:pPr>
    </w:p>
    <w:p w:rsidR="00116C1C" w:rsidRDefault="00116C1C" w:rsidP="00116C1C">
      <w:pPr>
        <w:rPr>
          <w:color w:val="000000" w:themeColor="text1"/>
          <w:lang w:val="en-US"/>
        </w:rPr>
      </w:pPr>
    </w:p>
    <w:p w:rsidR="00116C1C" w:rsidRPr="00F63E0C" w:rsidRDefault="00116C1C" w:rsidP="001923B9">
      <w:pPr>
        <w:rPr>
          <w:b/>
          <w:color w:val="000000" w:themeColor="text1"/>
          <w:lang w:val="en-US"/>
        </w:rPr>
      </w:pPr>
      <w:r w:rsidRPr="00F63E0C">
        <w:rPr>
          <w:color w:val="000000" w:themeColor="text1"/>
          <w:lang w:val="en-US"/>
        </w:rPr>
        <w:t xml:space="preserve">In-channel adjacent sub-band selectivity requirement </w:t>
      </w:r>
      <w:r w:rsidRPr="00F63E0C">
        <w:rPr>
          <w:rFonts w:hint="eastAsia"/>
          <w:color w:val="000000" w:themeColor="text1"/>
          <w:lang w:val="en-US"/>
        </w:rPr>
        <w:t xml:space="preserve">is </w:t>
      </w:r>
      <w:r w:rsidRPr="00F63E0C">
        <w:rPr>
          <w:color w:val="000000" w:themeColor="text1"/>
          <w:lang w:val="en-US"/>
        </w:rPr>
        <w:t xml:space="preserve">implicitly covered by </w:t>
      </w:r>
      <w:r w:rsidRPr="00F63E0C">
        <w:rPr>
          <w:rFonts w:hint="eastAsia"/>
          <w:color w:val="000000" w:themeColor="text1"/>
          <w:lang w:val="en-US"/>
        </w:rPr>
        <w:t xml:space="preserve">in-channel </w:t>
      </w:r>
      <w:r w:rsidRPr="00F63E0C">
        <w:rPr>
          <w:color w:val="000000" w:themeColor="text1"/>
          <w:lang w:val="en-US"/>
        </w:rPr>
        <w:t>adjacent sub</w:t>
      </w:r>
      <w:r w:rsidRPr="00F63E0C">
        <w:rPr>
          <w:rFonts w:hint="eastAsia"/>
          <w:color w:val="000000" w:themeColor="text1"/>
          <w:lang w:val="en-US"/>
        </w:rPr>
        <w:t>-</w:t>
      </w:r>
      <w:r w:rsidRPr="00F63E0C">
        <w:rPr>
          <w:color w:val="000000" w:themeColor="text1"/>
          <w:lang w:val="en-US"/>
        </w:rPr>
        <w:t>band blocking</w:t>
      </w:r>
      <w:r w:rsidRPr="00F63E0C">
        <w:rPr>
          <w:rFonts w:hint="eastAsia"/>
          <w:color w:val="000000" w:themeColor="text1"/>
          <w:lang w:val="en-US"/>
        </w:rPr>
        <w:t xml:space="preserve">, </w:t>
      </w:r>
      <w:r w:rsidRPr="00F63E0C">
        <w:rPr>
          <w:color w:val="000000" w:themeColor="text1"/>
          <w:lang w:val="en-US"/>
        </w:rPr>
        <w:t>so no definition is needed</w:t>
      </w:r>
      <w:r w:rsidRPr="00F63E0C">
        <w:rPr>
          <w:rFonts w:hint="eastAsia"/>
          <w:color w:val="000000" w:themeColor="text1"/>
          <w:lang w:val="en-US"/>
        </w:rPr>
        <w:t>.</w:t>
      </w:r>
      <w:r w:rsidR="00E026E7" w:rsidRPr="00F63E0C">
        <w:rPr>
          <w:rFonts w:hint="eastAsia"/>
          <w:color w:val="000000" w:themeColor="text1"/>
          <w:lang w:val="en-US"/>
        </w:rPr>
        <w:t xml:space="preserve"> The i</w:t>
      </w:r>
      <w:r w:rsidRPr="00F63E0C">
        <w:rPr>
          <w:rFonts w:hint="eastAsia"/>
          <w:color w:val="000000" w:themeColor="text1"/>
          <w:lang w:val="en-US"/>
        </w:rPr>
        <w:t xml:space="preserve">n-channel </w:t>
      </w:r>
      <w:r w:rsidRPr="00F63E0C">
        <w:rPr>
          <w:color w:val="000000" w:themeColor="text1"/>
          <w:lang w:val="en-US"/>
        </w:rPr>
        <w:t>adjacent sub</w:t>
      </w:r>
      <w:r w:rsidRPr="00F63E0C">
        <w:rPr>
          <w:rFonts w:hint="eastAsia"/>
          <w:color w:val="000000" w:themeColor="text1"/>
          <w:lang w:val="en-US"/>
        </w:rPr>
        <w:t>-</w:t>
      </w:r>
      <w:r w:rsidRPr="00F63E0C">
        <w:rPr>
          <w:color w:val="000000" w:themeColor="text1"/>
          <w:lang w:val="en-US"/>
        </w:rPr>
        <w:t>band blocking</w:t>
      </w:r>
      <w:r w:rsidRPr="00F63E0C">
        <w:rPr>
          <w:rFonts w:hint="eastAsia"/>
          <w:color w:val="000000" w:themeColor="text1"/>
          <w:lang w:val="en-US"/>
        </w:rPr>
        <w:t xml:space="preserve"> </w:t>
      </w:r>
      <w:r w:rsidR="00E026E7" w:rsidRPr="00F63E0C">
        <w:rPr>
          <w:rFonts w:hint="eastAsia"/>
          <w:color w:val="000000" w:themeColor="text1"/>
          <w:lang w:val="en-US"/>
        </w:rPr>
        <w:t xml:space="preserve">requirement </w:t>
      </w:r>
      <w:r w:rsidRPr="00F63E0C">
        <w:rPr>
          <w:rFonts w:hint="eastAsia"/>
          <w:color w:val="000000" w:themeColor="text1"/>
          <w:lang w:val="en-US"/>
        </w:rPr>
        <w:t xml:space="preserve">should be defined based on </w:t>
      </w:r>
      <w:r w:rsidRPr="00F63E0C">
        <w:rPr>
          <w:color w:val="000000" w:themeColor="text1"/>
          <w:lang w:val="en-US"/>
        </w:rPr>
        <w:t>feasibility consideration.</w:t>
      </w:r>
    </w:p>
    <w:p w:rsidR="00116C1C" w:rsidRPr="00F63E0C" w:rsidRDefault="00E026E7" w:rsidP="001923B9">
      <w:pPr>
        <w:rPr>
          <w:b/>
          <w:color w:val="000000" w:themeColor="text1"/>
        </w:rPr>
      </w:pPr>
      <w:r w:rsidRPr="00F63E0C">
        <w:rPr>
          <w:b/>
          <w:color w:val="000000" w:themeColor="text1"/>
          <w:lang w:val="en-US"/>
        </w:rPr>
        <w:t xml:space="preserve">Proposal </w:t>
      </w:r>
      <w:r w:rsidRPr="00F63E0C">
        <w:rPr>
          <w:rFonts w:hint="eastAsia"/>
          <w:b/>
          <w:color w:val="000000" w:themeColor="text1"/>
          <w:lang w:val="en-US"/>
        </w:rPr>
        <w:t>3</w:t>
      </w:r>
      <w:r w:rsidRPr="00F63E0C">
        <w:rPr>
          <w:b/>
          <w:color w:val="000000" w:themeColor="text1"/>
          <w:lang w:val="en-US"/>
        </w:rPr>
        <w:t>:</w:t>
      </w:r>
      <w:r w:rsidRPr="00F63E0C">
        <w:rPr>
          <w:rFonts w:hint="eastAsia"/>
          <w:b/>
          <w:color w:val="000000" w:themeColor="text1"/>
          <w:lang w:val="en-US"/>
        </w:rPr>
        <w:t xml:space="preserve"> </w:t>
      </w:r>
      <w:r w:rsidRPr="00F63E0C">
        <w:rPr>
          <w:b/>
          <w:color w:val="000000" w:themeColor="text1"/>
          <w:lang w:val="en-US"/>
        </w:rPr>
        <w:t>The in-channel adjacent sub-band blocking requirement should be defined based on feasibility consideration.</w:t>
      </w:r>
    </w:p>
    <w:p w:rsidR="00EA179A" w:rsidRPr="00F63E0C" w:rsidRDefault="00A84F20" w:rsidP="00B47D2E">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F63E0C">
        <w:rPr>
          <w:rFonts w:hint="eastAsia"/>
          <w:color w:val="000000" w:themeColor="text1"/>
          <w:lang w:eastAsia="zh-CN"/>
        </w:rPr>
        <w:t>S</w:t>
      </w:r>
      <w:r w:rsidR="00EA179A" w:rsidRPr="00F63E0C">
        <w:rPr>
          <w:rFonts w:hint="eastAsia"/>
          <w:color w:val="000000" w:themeColor="text1"/>
          <w:lang w:eastAsia="zh-CN"/>
        </w:rPr>
        <w:t>ummary</w:t>
      </w:r>
    </w:p>
    <w:p w:rsidR="00A46CD9" w:rsidRPr="00F63E0C" w:rsidRDefault="00F938CB" w:rsidP="00713108">
      <w:pPr>
        <w:shd w:val="clear" w:color="auto" w:fill="FFFFFF"/>
        <w:rPr>
          <w:color w:val="000000" w:themeColor="text1"/>
        </w:rPr>
      </w:pPr>
      <w:r w:rsidRPr="00F63E0C">
        <w:rPr>
          <w:color w:val="000000" w:themeColor="text1"/>
        </w:rPr>
        <w:t xml:space="preserve">In this contribution, </w:t>
      </w:r>
      <w:r w:rsidR="007B1F5D" w:rsidRPr="00F63E0C">
        <w:rPr>
          <w:rFonts w:hint="eastAsia"/>
          <w:color w:val="000000" w:themeColor="text1"/>
        </w:rPr>
        <w:t>w</w:t>
      </w:r>
      <w:r w:rsidRPr="00F63E0C">
        <w:rPr>
          <w:color w:val="000000" w:themeColor="text1"/>
        </w:rPr>
        <w:t>e have the following proposals.</w:t>
      </w:r>
    </w:p>
    <w:p w:rsidR="00326225" w:rsidRPr="00F63E0C" w:rsidRDefault="00326225" w:rsidP="00326225">
      <w:pPr>
        <w:rPr>
          <w:b/>
          <w:color w:val="000000" w:themeColor="text1"/>
          <w:lang w:val="en-US"/>
        </w:rPr>
      </w:pPr>
      <w:r w:rsidRPr="00F63E0C">
        <w:rPr>
          <w:b/>
          <w:color w:val="000000" w:themeColor="text1"/>
          <w:lang w:val="en-US"/>
        </w:rPr>
        <w:t xml:space="preserve">Proposal </w:t>
      </w:r>
      <w:r w:rsidR="00FD1186" w:rsidRPr="00F63E0C">
        <w:rPr>
          <w:rFonts w:hint="eastAsia"/>
          <w:b/>
          <w:color w:val="000000" w:themeColor="text1"/>
          <w:lang w:val="en-US"/>
        </w:rPr>
        <w:t>1</w:t>
      </w:r>
      <w:r w:rsidRPr="00F63E0C">
        <w:rPr>
          <w:b/>
          <w:color w:val="000000" w:themeColor="text1"/>
          <w:lang w:val="en-US"/>
        </w:rPr>
        <w:t>:</w:t>
      </w:r>
      <w:r w:rsidRPr="00F63E0C">
        <w:rPr>
          <w:rFonts w:hint="eastAsia"/>
          <w:b/>
          <w:color w:val="000000" w:themeColor="text1"/>
          <w:lang w:val="en-US"/>
        </w:rPr>
        <w:t xml:space="preserve"> L</w:t>
      </w:r>
      <w:r w:rsidRPr="00F63E0C">
        <w:rPr>
          <w:b/>
          <w:color w:val="000000" w:themeColor="text1"/>
          <w:lang w:val="en-US"/>
        </w:rPr>
        <w:t>ocation of transient period between SBFD and non-SBFD shall be located within the SBFD slot.</w:t>
      </w:r>
    </w:p>
    <w:p w:rsidR="00E026E7" w:rsidRPr="00F63E0C" w:rsidRDefault="00E026E7" w:rsidP="00E026E7">
      <w:pPr>
        <w:rPr>
          <w:color w:val="000000" w:themeColor="text1"/>
        </w:rPr>
      </w:pPr>
      <w:r w:rsidRPr="00F63E0C">
        <w:rPr>
          <w:b/>
          <w:color w:val="000000" w:themeColor="text1"/>
          <w:lang w:val="en-US"/>
        </w:rPr>
        <w:t xml:space="preserve">Proposal </w:t>
      </w:r>
      <w:r w:rsidRPr="00F63E0C">
        <w:rPr>
          <w:rFonts w:hint="eastAsia"/>
          <w:b/>
          <w:color w:val="000000" w:themeColor="text1"/>
          <w:lang w:val="en-US"/>
        </w:rPr>
        <w:t>2</w:t>
      </w:r>
      <w:r w:rsidRPr="00F63E0C">
        <w:rPr>
          <w:b/>
          <w:color w:val="000000" w:themeColor="text1"/>
          <w:lang w:val="en-US"/>
        </w:rPr>
        <w:t>:</w:t>
      </w:r>
      <w:r w:rsidRPr="00F63E0C">
        <w:rPr>
          <w:rFonts w:hint="eastAsia"/>
          <w:b/>
          <w:color w:val="000000" w:themeColor="text1"/>
          <w:lang w:val="en-US"/>
        </w:rPr>
        <w:t xml:space="preserve"> </w:t>
      </w:r>
      <w:r w:rsidRPr="00F63E0C">
        <w:rPr>
          <w:b/>
          <w:color w:val="000000" w:themeColor="text1"/>
          <w:lang w:val="en-US"/>
        </w:rPr>
        <w:t>The in-channel adjacent sub-band leakage ratio requirement can be defined similar to the ACLR requirement and use existing ACLR requirement as baseline.</w:t>
      </w:r>
    </w:p>
    <w:p w:rsidR="00E026E7" w:rsidRPr="00F63E0C" w:rsidRDefault="00E026E7" w:rsidP="00326225">
      <w:pPr>
        <w:rPr>
          <w:b/>
          <w:color w:val="000000" w:themeColor="text1"/>
        </w:rPr>
      </w:pPr>
      <w:r w:rsidRPr="00F63E0C">
        <w:rPr>
          <w:b/>
          <w:color w:val="000000" w:themeColor="text1"/>
          <w:lang w:val="en-US"/>
        </w:rPr>
        <w:t xml:space="preserve">Proposal </w:t>
      </w:r>
      <w:r w:rsidRPr="00F63E0C">
        <w:rPr>
          <w:rFonts w:hint="eastAsia"/>
          <w:b/>
          <w:color w:val="000000" w:themeColor="text1"/>
          <w:lang w:val="en-US"/>
        </w:rPr>
        <w:t>3</w:t>
      </w:r>
      <w:r w:rsidRPr="00F63E0C">
        <w:rPr>
          <w:b/>
          <w:color w:val="000000" w:themeColor="text1"/>
          <w:lang w:val="en-US"/>
        </w:rPr>
        <w:t>:</w:t>
      </w:r>
      <w:r w:rsidRPr="00F63E0C">
        <w:rPr>
          <w:rFonts w:hint="eastAsia"/>
          <w:b/>
          <w:color w:val="000000" w:themeColor="text1"/>
          <w:lang w:val="en-US"/>
        </w:rPr>
        <w:t xml:space="preserve"> </w:t>
      </w:r>
      <w:r w:rsidRPr="00F63E0C">
        <w:rPr>
          <w:b/>
          <w:color w:val="000000" w:themeColor="text1"/>
          <w:lang w:val="en-US"/>
        </w:rPr>
        <w:t>The in-channel adjacent sub-band blocking requirement should be defined based on feasibility consideration.</w:t>
      </w:r>
    </w:p>
    <w:p w:rsidR="00EE45A3" w:rsidRPr="00F63E0C" w:rsidRDefault="00EE45A3" w:rsidP="0020545D">
      <w:pPr>
        <w:pStyle w:val="11"/>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F63E0C">
        <w:rPr>
          <w:rFonts w:hint="eastAsia"/>
          <w:color w:val="000000" w:themeColor="text1"/>
          <w:lang w:eastAsia="zh-CN"/>
        </w:rPr>
        <w:t>Reference</w:t>
      </w:r>
    </w:p>
    <w:p w:rsidR="00A15836" w:rsidRPr="00F63E0C" w:rsidRDefault="00A15836" w:rsidP="00A15836">
      <w:pPr>
        <w:rPr>
          <w:iCs/>
          <w:color w:val="000000" w:themeColor="text1"/>
        </w:rPr>
      </w:pPr>
      <w:r w:rsidRPr="00F63E0C">
        <w:rPr>
          <w:rFonts w:hint="eastAsia"/>
          <w:color w:val="000000" w:themeColor="text1"/>
        </w:rPr>
        <w:t xml:space="preserve">[1] </w:t>
      </w:r>
      <w:r w:rsidRPr="00F63E0C">
        <w:rPr>
          <w:color w:val="000000" w:themeColor="text1"/>
        </w:rPr>
        <w:t>R4-2419908</w:t>
      </w:r>
      <w:r w:rsidRPr="00F63E0C">
        <w:rPr>
          <w:rFonts w:hint="eastAsia"/>
          <w:color w:val="000000" w:themeColor="text1"/>
        </w:rPr>
        <w:t xml:space="preserve">, </w:t>
      </w:r>
      <w:r w:rsidRPr="00F63E0C">
        <w:rPr>
          <w:color w:val="000000" w:themeColor="text1"/>
        </w:rPr>
        <w:t>“Way Forward for [113][307] NR_duplex_evo_BSRF”</w:t>
      </w:r>
      <w:r w:rsidRPr="00F63E0C">
        <w:rPr>
          <w:rFonts w:hint="eastAsia"/>
          <w:color w:val="000000" w:themeColor="text1"/>
        </w:rPr>
        <w:t xml:space="preserve">, </w:t>
      </w:r>
      <w:r w:rsidRPr="00F63E0C">
        <w:rPr>
          <w:color w:val="000000" w:themeColor="text1"/>
        </w:rPr>
        <w:t xml:space="preserve">Huawei, </w:t>
      </w:r>
      <w:r w:rsidRPr="00F63E0C">
        <w:rPr>
          <w:rFonts w:hint="eastAsia"/>
          <w:iCs/>
          <w:color w:val="000000" w:themeColor="text1"/>
        </w:rPr>
        <w:t>RAN4#113</w:t>
      </w:r>
    </w:p>
    <w:sectPr w:rsidR="00A15836" w:rsidRPr="00F63E0C"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338" w:rsidRDefault="004C2338" w:rsidP="0095591C">
      <w:pPr>
        <w:spacing w:after="60"/>
        <w:ind w:left="210"/>
      </w:pPr>
      <w:r>
        <w:separator/>
      </w:r>
    </w:p>
  </w:endnote>
  <w:endnote w:type="continuationSeparator" w:id="0">
    <w:p w:rsidR="004C2338" w:rsidRDefault="004C233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C301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338" w:rsidRDefault="004C2338" w:rsidP="0095591C">
      <w:pPr>
        <w:spacing w:after="60"/>
        <w:ind w:left="210"/>
      </w:pPr>
      <w:r>
        <w:separator/>
      </w:r>
    </w:p>
  </w:footnote>
  <w:footnote w:type="continuationSeparator" w:id="0">
    <w:p w:rsidR="004C2338" w:rsidRDefault="004C233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CB40E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605724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2"/>
  </w:num>
  <w:num w:numId="4">
    <w:abstractNumId w:val="14"/>
  </w:num>
  <w:num w:numId="5">
    <w:abstractNumId w:val="7"/>
  </w:num>
  <w:num w:numId="6">
    <w:abstractNumId w:val="24"/>
  </w:num>
  <w:num w:numId="7">
    <w:abstractNumId w:val="4"/>
  </w:num>
  <w:num w:numId="8">
    <w:abstractNumId w:val="15"/>
  </w:num>
  <w:num w:numId="9">
    <w:abstractNumId w:val="9"/>
  </w:num>
  <w:num w:numId="10">
    <w:abstractNumId w:val="23"/>
  </w:num>
  <w:num w:numId="11">
    <w:abstractNumId w:val="25"/>
  </w:num>
  <w:num w:numId="12">
    <w:abstractNumId w:val="26"/>
  </w:num>
  <w:num w:numId="13">
    <w:abstractNumId w:val="11"/>
  </w:num>
  <w:num w:numId="14">
    <w:abstractNumId w:val="13"/>
  </w:num>
  <w:num w:numId="15">
    <w:abstractNumId w:val="8"/>
  </w:num>
  <w:num w:numId="16">
    <w:abstractNumId w:val="21"/>
  </w:num>
  <w:num w:numId="17">
    <w:abstractNumId w:val="0"/>
  </w:num>
  <w:num w:numId="18">
    <w:abstractNumId w:val="22"/>
  </w:num>
  <w:num w:numId="19">
    <w:abstractNumId w:val="16"/>
  </w:num>
  <w:num w:numId="20">
    <w:abstractNumId w:val="6"/>
  </w:num>
  <w:num w:numId="21">
    <w:abstractNumId w:val="19"/>
  </w:num>
  <w:num w:numId="22">
    <w:abstractNumId w:val="10"/>
  </w:num>
  <w:num w:numId="23">
    <w:abstractNumId w:val="18"/>
  </w:num>
  <w:num w:numId="24">
    <w:abstractNumId w:val="1"/>
  </w:num>
  <w:num w:numId="25">
    <w:abstractNumId w:val="3"/>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0759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A3"/>
    <w:rsid w:val="00022DC7"/>
    <w:rsid w:val="000230A8"/>
    <w:rsid w:val="000234EB"/>
    <w:rsid w:val="0002395C"/>
    <w:rsid w:val="00023B54"/>
    <w:rsid w:val="00023C39"/>
    <w:rsid w:val="000243B5"/>
    <w:rsid w:val="00024790"/>
    <w:rsid w:val="00024886"/>
    <w:rsid w:val="00024C0E"/>
    <w:rsid w:val="00024E08"/>
    <w:rsid w:val="000258AC"/>
    <w:rsid w:val="000259FA"/>
    <w:rsid w:val="00025D9E"/>
    <w:rsid w:val="0002624C"/>
    <w:rsid w:val="000264B0"/>
    <w:rsid w:val="00026E46"/>
    <w:rsid w:val="00026F12"/>
    <w:rsid w:val="000273BD"/>
    <w:rsid w:val="000277A4"/>
    <w:rsid w:val="00030323"/>
    <w:rsid w:val="00030780"/>
    <w:rsid w:val="00030D9E"/>
    <w:rsid w:val="0003175A"/>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68B"/>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56F"/>
    <w:rsid w:val="00067C58"/>
    <w:rsid w:val="00070174"/>
    <w:rsid w:val="00070416"/>
    <w:rsid w:val="00070D62"/>
    <w:rsid w:val="00071CC3"/>
    <w:rsid w:val="00071D52"/>
    <w:rsid w:val="00071EC1"/>
    <w:rsid w:val="00071F41"/>
    <w:rsid w:val="0007217E"/>
    <w:rsid w:val="00072602"/>
    <w:rsid w:val="00072825"/>
    <w:rsid w:val="00072C64"/>
    <w:rsid w:val="00073137"/>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2CBD"/>
    <w:rsid w:val="000932F6"/>
    <w:rsid w:val="00093566"/>
    <w:rsid w:val="00093903"/>
    <w:rsid w:val="00093C80"/>
    <w:rsid w:val="00094590"/>
    <w:rsid w:val="000947F7"/>
    <w:rsid w:val="00094B88"/>
    <w:rsid w:val="00094DCA"/>
    <w:rsid w:val="00095154"/>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4AC5"/>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316"/>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2C5A"/>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6C1C"/>
    <w:rsid w:val="00117363"/>
    <w:rsid w:val="00117D5C"/>
    <w:rsid w:val="001202FD"/>
    <w:rsid w:val="00120A0E"/>
    <w:rsid w:val="00120B99"/>
    <w:rsid w:val="00121402"/>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1E8E"/>
    <w:rsid w:val="001322B0"/>
    <w:rsid w:val="00132F45"/>
    <w:rsid w:val="001337FB"/>
    <w:rsid w:val="00133A7D"/>
    <w:rsid w:val="00133BEE"/>
    <w:rsid w:val="00133F99"/>
    <w:rsid w:val="00133FDC"/>
    <w:rsid w:val="0013443E"/>
    <w:rsid w:val="001346AD"/>
    <w:rsid w:val="001349B6"/>
    <w:rsid w:val="00134AB7"/>
    <w:rsid w:val="00134BE7"/>
    <w:rsid w:val="00135AED"/>
    <w:rsid w:val="00135CF4"/>
    <w:rsid w:val="00135FC3"/>
    <w:rsid w:val="0013671F"/>
    <w:rsid w:val="001369B2"/>
    <w:rsid w:val="00136B0E"/>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368"/>
    <w:rsid w:val="00142849"/>
    <w:rsid w:val="00142A8B"/>
    <w:rsid w:val="00142EE8"/>
    <w:rsid w:val="00142FC5"/>
    <w:rsid w:val="0014311C"/>
    <w:rsid w:val="001433DB"/>
    <w:rsid w:val="00143467"/>
    <w:rsid w:val="001434CF"/>
    <w:rsid w:val="0014366C"/>
    <w:rsid w:val="001437B8"/>
    <w:rsid w:val="00143968"/>
    <w:rsid w:val="00143B2F"/>
    <w:rsid w:val="00143BA9"/>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305"/>
    <w:rsid w:val="001554CD"/>
    <w:rsid w:val="001554EE"/>
    <w:rsid w:val="0015613C"/>
    <w:rsid w:val="001564F6"/>
    <w:rsid w:val="00156673"/>
    <w:rsid w:val="001566FA"/>
    <w:rsid w:val="00156A4A"/>
    <w:rsid w:val="00156DB6"/>
    <w:rsid w:val="00156FA8"/>
    <w:rsid w:val="0015746D"/>
    <w:rsid w:val="001577D9"/>
    <w:rsid w:val="0015784E"/>
    <w:rsid w:val="00157C3E"/>
    <w:rsid w:val="00157CD0"/>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484"/>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3B9"/>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6C"/>
    <w:rsid w:val="00196ECC"/>
    <w:rsid w:val="00196FDA"/>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F0F"/>
    <w:rsid w:val="001A6580"/>
    <w:rsid w:val="001A6647"/>
    <w:rsid w:val="001A6724"/>
    <w:rsid w:val="001A68E8"/>
    <w:rsid w:val="001A6AE0"/>
    <w:rsid w:val="001A704C"/>
    <w:rsid w:val="001A72E4"/>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55E4"/>
    <w:rsid w:val="001C5BCF"/>
    <w:rsid w:val="001C5CCE"/>
    <w:rsid w:val="001C5D28"/>
    <w:rsid w:val="001C6467"/>
    <w:rsid w:val="001C6468"/>
    <w:rsid w:val="001C6876"/>
    <w:rsid w:val="001C7045"/>
    <w:rsid w:val="001C7250"/>
    <w:rsid w:val="001C72D7"/>
    <w:rsid w:val="001C7BCC"/>
    <w:rsid w:val="001D04D8"/>
    <w:rsid w:val="001D0B2F"/>
    <w:rsid w:val="001D109B"/>
    <w:rsid w:val="001D11DA"/>
    <w:rsid w:val="001D11E8"/>
    <w:rsid w:val="001D128B"/>
    <w:rsid w:val="001D1634"/>
    <w:rsid w:val="001D1B1E"/>
    <w:rsid w:val="001D1F9C"/>
    <w:rsid w:val="001D2EA8"/>
    <w:rsid w:val="001D2F76"/>
    <w:rsid w:val="001D40F2"/>
    <w:rsid w:val="001D45D5"/>
    <w:rsid w:val="001D49AD"/>
    <w:rsid w:val="001D49D9"/>
    <w:rsid w:val="001D4E3E"/>
    <w:rsid w:val="001D54CC"/>
    <w:rsid w:val="001D580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D57"/>
    <w:rsid w:val="001F2D69"/>
    <w:rsid w:val="001F3A60"/>
    <w:rsid w:val="001F3ADB"/>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666A"/>
    <w:rsid w:val="002175F1"/>
    <w:rsid w:val="00217854"/>
    <w:rsid w:val="00217A42"/>
    <w:rsid w:val="00220892"/>
    <w:rsid w:val="002208C7"/>
    <w:rsid w:val="002215BA"/>
    <w:rsid w:val="00221759"/>
    <w:rsid w:val="00221AFB"/>
    <w:rsid w:val="00221CC6"/>
    <w:rsid w:val="002223B6"/>
    <w:rsid w:val="00222EA5"/>
    <w:rsid w:val="002230F7"/>
    <w:rsid w:val="0022396A"/>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7DD"/>
    <w:rsid w:val="00230CEA"/>
    <w:rsid w:val="002311E9"/>
    <w:rsid w:val="00231A6F"/>
    <w:rsid w:val="00231E25"/>
    <w:rsid w:val="00232336"/>
    <w:rsid w:val="002323A9"/>
    <w:rsid w:val="002326B4"/>
    <w:rsid w:val="0023281F"/>
    <w:rsid w:val="00232D27"/>
    <w:rsid w:val="002330DB"/>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629E"/>
    <w:rsid w:val="00246FFE"/>
    <w:rsid w:val="002474BB"/>
    <w:rsid w:val="002479DD"/>
    <w:rsid w:val="00247CD6"/>
    <w:rsid w:val="00247D4B"/>
    <w:rsid w:val="00247EEB"/>
    <w:rsid w:val="0025035D"/>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421"/>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0B58"/>
    <w:rsid w:val="00281149"/>
    <w:rsid w:val="002827E0"/>
    <w:rsid w:val="00282A0D"/>
    <w:rsid w:val="002836DA"/>
    <w:rsid w:val="00283834"/>
    <w:rsid w:val="00283936"/>
    <w:rsid w:val="0028427E"/>
    <w:rsid w:val="00284416"/>
    <w:rsid w:val="00285BCD"/>
    <w:rsid w:val="002870BD"/>
    <w:rsid w:val="002875FA"/>
    <w:rsid w:val="00287D82"/>
    <w:rsid w:val="002900B2"/>
    <w:rsid w:val="00290653"/>
    <w:rsid w:val="00290BAF"/>
    <w:rsid w:val="0029117B"/>
    <w:rsid w:val="002911CD"/>
    <w:rsid w:val="002911D9"/>
    <w:rsid w:val="00291405"/>
    <w:rsid w:val="00291EEE"/>
    <w:rsid w:val="00292269"/>
    <w:rsid w:val="0029264F"/>
    <w:rsid w:val="00292895"/>
    <w:rsid w:val="002928FA"/>
    <w:rsid w:val="00292D60"/>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840"/>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11"/>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503F"/>
    <w:rsid w:val="002D52BC"/>
    <w:rsid w:val="002D5F97"/>
    <w:rsid w:val="002D5FEC"/>
    <w:rsid w:val="002D61CA"/>
    <w:rsid w:val="002D623F"/>
    <w:rsid w:val="002D6751"/>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171"/>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54E"/>
    <w:rsid w:val="00307673"/>
    <w:rsid w:val="00307E36"/>
    <w:rsid w:val="00307F83"/>
    <w:rsid w:val="00310186"/>
    <w:rsid w:val="0031084D"/>
    <w:rsid w:val="0031095C"/>
    <w:rsid w:val="00311304"/>
    <w:rsid w:val="003114DF"/>
    <w:rsid w:val="0031167A"/>
    <w:rsid w:val="003117CA"/>
    <w:rsid w:val="00311ED5"/>
    <w:rsid w:val="00311FF0"/>
    <w:rsid w:val="00312519"/>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225"/>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5CA3"/>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87134"/>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3C4"/>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0F47"/>
    <w:rsid w:val="003D1237"/>
    <w:rsid w:val="003D13E7"/>
    <w:rsid w:val="003D13F5"/>
    <w:rsid w:val="003D1943"/>
    <w:rsid w:val="003D2557"/>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3A3"/>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631"/>
    <w:rsid w:val="003F189D"/>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5F8"/>
    <w:rsid w:val="004217A5"/>
    <w:rsid w:val="00421BB0"/>
    <w:rsid w:val="00422172"/>
    <w:rsid w:val="00422A4F"/>
    <w:rsid w:val="0042357B"/>
    <w:rsid w:val="004238CF"/>
    <w:rsid w:val="00423B07"/>
    <w:rsid w:val="00423B34"/>
    <w:rsid w:val="00423B5F"/>
    <w:rsid w:val="00423C1C"/>
    <w:rsid w:val="0042437C"/>
    <w:rsid w:val="00424768"/>
    <w:rsid w:val="00424796"/>
    <w:rsid w:val="0042485B"/>
    <w:rsid w:val="00424DE2"/>
    <w:rsid w:val="004252B5"/>
    <w:rsid w:val="004254FC"/>
    <w:rsid w:val="00425AB2"/>
    <w:rsid w:val="00425D0F"/>
    <w:rsid w:val="004262C5"/>
    <w:rsid w:val="00426904"/>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7C"/>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843"/>
    <w:rsid w:val="00443F8E"/>
    <w:rsid w:val="00443F99"/>
    <w:rsid w:val="0044436C"/>
    <w:rsid w:val="004448E4"/>
    <w:rsid w:val="00444CAF"/>
    <w:rsid w:val="00445322"/>
    <w:rsid w:val="00446154"/>
    <w:rsid w:val="004465E5"/>
    <w:rsid w:val="00446666"/>
    <w:rsid w:val="00446CC7"/>
    <w:rsid w:val="00446DDE"/>
    <w:rsid w:val="00446E5A"/>
    <w:rsid w:val="00447075"/>
    <w:rsid w:val="004473A6"/>
    <w:rsid w:val="00447E14"/>
    <w:rsid w:val="0045063D"/>
    <w:rsid w:val="00450A4D"/>
    <w:rsid w:val="00450E89"/>
    <w:rsid w:val="00450F57"/>
    <w:rsid w:val="0045132F"/>
    <w:rsid w:val="00451477"/>
    <w:rsid w:val="0045166D"/>
    <w:rsid w:val="00451ACD"/>
    <w:rsid w:val="00451BB9"/>
    <w:rsid w:val="00451EAE"/>
    <w:rsid w:val="0045244E"/>
    <w:rsid w:val="004527F7"/>
    <w:rsid w:val="004529F3"/>
    <w:rsid w:val="00453101"/>
    <w:rsid w:val="004539FA"/>
    <w:rsid w:val="0045401D"/>
    <w:rsid w:val="0045452E"/>
    <w:rsid w:val="0045456D"/>
    <w:rsid w:val="0045474D"/>
    <w:rsid w:val="00454B8F"/>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C67"/>
    <w:rsid w:val="00471F8A"/>
    <w:rsid w:val="00472009"/>
    <w:rsid w:val="0047201E"/>
    <w:rsid w:val="00472857"/>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5D24"/>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338"/>
    <w:rsid w:val="004C25EB"/>
    <w:rsid w:val="004C2995"/>
    <w:rsid w:val="004C33C2"/>
    <w:rsid w:val="004C3522"/>
    <w:rsid w:val="004C4030"/>
    <w:rsid w:val="004C43D7"/>
    <w:rsid w:val="004C45D7"/>
    <w:rsid w:val="004C49E6"/>
    <w:rsid w:val="004C4C7A"/>
    <w:rsid w:val="004C52E0"/>
    <w:rsid w:val="004C5CC7"/>
    <w:rsid w:val="004C5DC4"/>
    <w:rsid w:val="004C5DCC"/>
    <w:rsid w:val="004C6562"/>
    <w:rsid w:val="004C6670"/>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1D2B"/>
    <w:rsid w:val="004E2D60"/>
    <w:rsid w:val="004E3020"/>
    <w:rsid w:val="004E3350"/>
    <w:rsid w:val="004E35B8"/>
    <w:rsid w:val="004E3B22"/>
    <w:rsid w:val="004E416A"/>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1956"/>
    <w:rsid w:val="004F2350"/>
    <w:rsid w:val="004F35DD"/>
    <w:rsid w:val="004F388F"/>
    <w:rsid w:val="004F40F5"/>
    <w:rsid w:val="004F465C"/>
    <w:rsid w:val="004F4918"/>
    <w:rsid w:val="004F4B4A"/>
    <w:rsid w:val="004F4F1E"/>
    <w:rsid w:val="004F5096"/>
    <w:rsid w:val="004F5285"/>
    <w:rsid w:val="004F5871"/>
    <w:rsid w:val="004F5C39"/>
    <w:rsid w:val="004F61DD"/>
    <w:rsid w:val="004F6456"/>
    <w:rsid w:val="004F717A"/>
    <w:rsid w:val="004F76E7"/>
    <w:rsid w:val="004F7745"/>
    <w:rsid w:val="004F7A5F"/>
    <w:rsid w:val="005015C4"/>
    <w:rsid w:val="00501A46"/>
    <w:rsid w:val="00501E05"/>
    <w:rsid w:val="00502208"/>
    <w:rsid w:val="005027EE"/>
    <w:rsid w:val="005028BF"/>
    <w:rsid w:val="00502C1B"/>
    <w:rsid w:val="00502D22"/>
    <w:rsid w:val="00502FFE"/>
    <w:rsid w:val="0050346A"/>
    <w:rsid w:val="00504084"/>
    <w:rsid w:val="0050464D"/>
    <w:rsid w:val="005047D6"/>
    <w:rsid w:val="00504B2C"/>
    <w:rsid w:val="00505123"/>
    <w:rsid w:val="00505339"/>
    <w:rsid w:val="00505579"/>
    <w:rsid w:val="00505587"/>
    <w:rsid w:val="005055C9"/>
    <w:rsid w:val="005055EF"/>
    <w:rsid w:val="00505653"/>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7A6"/>
    <w:rsid w:val="005240C1"/>
    <w:rsid w:val="00524682"/>
    <w:rsid w:val="0052471D"/>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4F26"/>
    <w:rsid w:val="005357A7"/>
    <w:rsid w:val="00535C7E"/>
    <w:rsid w:val="00536BC4"/>
    <w:rsid w:val="00536E9E"/>
    <w:rsid w:val="005372DA"/>
    <w:rsid w:val="005372F5"/>
    <w:rsid w:val="005402C3"/>
    <w:rsid w:val="00540C05"/>
    <w:rsid w:val="00541194"/>
    <w:rsid w:val="005415E6"/>
    <w:rsid w:val="00541FF4"/>
    <w:rsid w:val="005423C2"/>
    <w:rsid w:val="00542B3C"/>
    <w:rsid w:val="005430EA"/>
    <w:rsid w:val="00543226"/>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3E3B"/>
    <w:rsid w:val="00554825"/>
    <w:rsid w:val="00554C2B"/>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1B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1D6"/>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9D2"/>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6BA8"/>
    <w:rsid w:val="005A77FD"/>
    <w:rsid w:val="005A7C38"/>
    <w:rsid w:val="005A7C9D"/>
    <w:rsid w:val="005B0057"/>
    <w:rsid w:val="005B01A9"/>
    <w:rsid w:val="005B0587"/>
    <w:rsid w:val="005B0889"/>
    <w:rsid w:val="005B0FE4"/>
    <w:rsid w:val="005B167B"/>
    <w:rsid w:val="005B193C"/>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17EE"/>
    <w:rsid w:val="005C17F3"/>
    <w:rsid w:val="005C1EA4"/>
    <w:rsid w:val="005C1EE1"/>
    <w:rsid w:val="005C2277"/>
    <w:rsid w:val="005C28D8"/>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4899"/>
    <w:rsid w:val="005D54E6"/>
    <w:rsid w:val="005D5885"/>
    <w:rsid w:val="005D5EF1"/>
    <w:rsid w:val="005D5F41"/>
    <w:rsid w:val="005D691F"/>
    <w:rsid w:val="005D6C02"/>
    <w:rsid w:val="005D6D6E"/>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601"/>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418"/>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5CA8"/>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233"/>
    <w:rsid w:val="00647D09"/>
    <w:rsid w:val="00647D1F"/>
    <w:rsid w:val="00647FB1"/>
    <w:rsid w:val="006503C1"/>
    <w:rsid w:val="00650584"/>
    <w:rsid w:val="00650CFE"/>
    <w:rsid w:val="00650D53"/>
    <w:rsid w:val="00650E96"/>
    <w:rsid w:val="006517BF"/>
    <w:rsid w:val="006519E2"/>
    <w:rsid w:val="00651E3E"/>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6E30"/>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C4"/>
    <w:rsid w:val="00673E9A"/>
    <w:rsid w:val="00673E9E"/>
    <w:rsid w:val="00673F20"/>
    <w:rsid w:val="006743EC"/>
    <w:rsid w:val="0067447F"/>
    <w:rsid w:val="00674577"/>
    <w:rsid w:val="006749E5"/>
    <w:rsid w:val="00674D16"/>
    <w:rsid w:val="00675549"/>
    <w:rsid w:val="006759AA"/>
    <w:rsid w:val="00676023"/>
    <w:rsid w:val="006764DE"/>
    <w:rsid w:val="006768CA"/>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7B2"/>
    <w:rsid w:val="006D2B23"/>
    <w:rsid w:val="006D3C3C"/>
    <w:rsid w:val="006D3C52"/>
    <w:rsid w:val="006D4691"/>
    <w:rsid w:val="006D46D6"/>
    <w:rsid w:val="006D472B"/>
    <w:rsid w:val="006D49EA"/>
    <w:rsid w:val="006D4CA1"/>
    <w:rsid w:val="006D54DF"/>
    <w:rsid w:val="006D622D"/>
    <w:rsid w:val="006D6380"/>
    <w:rsid w:val="006D64BB"/>
    <w:rsid w:val="006D68F9"/>
    <w:rsid w:val="006D6EC8"/>
    <w:rsid w:val="006D75AA"/>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3C5"/>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F5"/>
    <w:rsid w:val="0070200B"/>
    <w:rsid w:val="00702268"/>
    <w:rsid w:val="00702303"/>
    <w:rsid w:val="00702829"/>
    <w:rsid w:val="00702943"/>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8D8"/>
    <w:rsid w:val="00734A4C"/>
    <w:rsid w:val="00734E75"/>
    <w:rsid w:val="0073560F"/>
    <w:rsid w:val="00735C16"/>
    <w:rsid w:val="00735D14"/>
    <w:rsid w:val="00736031"/>
    <w:rsid w:val="007362CE"/>
    <w:rsid w:val="007363FF"/>
    <w:rsid w:val="00736894"/>
    <w:rsid w:val="00736CE3"/>
    <w:rsid w:val="00736DCD"/>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0D84"/>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57B13"/>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158D"/>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3E6E"/>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437"/>
    <w:rsid w:val="007C760D"/>
    <w:rsid w:val="007C7A5A"/>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86"/>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56A"/>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3C0"/>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E55"/>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75D"/>
    <w:rsid w:val="008232A5"/>
    <w:rsid w:val="0082408A"/>
    <w:rsid w:val="008241A2"/>
    <w:rsid w:val="00824316"/>
    <w:rsid w:val="008244EB"/>
    <w:rsid w:val="00824704"/>
    <w:rsid w:val="00824ABB"/>
    <w:rsid w:val="00824AE2"/>
    <w:rsid w:val="00824C26"/>
    <w:rsid w:val="00824E50"/>
    <w:rsid w:val="0082545E"/>
    <w:rsid w:val="008260C3"/>
    <w:rsid w:val="008273C8"/>
    <w:rsid w:val="00827658"/>
    <w:rsid w:val="00827FC2"/>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406"/>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12CF"/>
    <w:rsid w:val="00852D27"/>
    <w:rsid w:val="00852FD2"/>
    <w:rsid w:val="008533B9"/>
    <w:rsid w:val="00853535"/>
    <w:rsid w:val="00853AEF"/>
    <w:rsid w:val="00853C02"/>
    <w:rsid w:val="00853C51"/>
    <w:rsid w:val="00854229"/>
    <w:rsid w:val="008543DB"/>
    <w:rsid w:val="00854848"/>
    <w:rsid w:val="00854DF3"/>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9A0"/>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AF"/>
    <w:rsid w:val="008A0E76"/>
    <w:rsid w:val="008A14D5"/>
    <w:rsid w:val="008A1B35"/>
    <w:rsid w:val="008A1F0C"/>
    <w:rsid w:val="008A2128"/>
    <w:rsid w:val="008A2541"/>
    <w:rsid w:val="008A26AD"/>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468"/>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0CC"/>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4E8E"/>
    <w:rsid w:val="008C4FC6"/>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0EE0"/>
    <w:rsid w:val="008D0FC7"/>
    <w:rsid w:val="008D1239"/>
    <w:rsid w:val="008D134D"/>
    <w:rsid w:val="008D1832"/>
    <w:rsid w:val="008D1DC9"/>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5BD"/>
    <w:rsid w:val="008D7FE8"/>
    <w:rsid w:val="008E0712"/>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02C"/>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2B9"/>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05F"/>
    <w:rsid w:val="00917A7D"/>
    <w:rsid w:val="009209E7"/>
    <w:rsid w:val="00920C9F"/>
    <w:rsid w:val="00920ED1"/>
    <w:rsid w:val="0092120A"/>
    <w:rsid w:val="00921D5C"/>
    <w:rsid w:val="00921FF2"/>
    <w:rsid w:val="009226AA"/>
    <w:rsid w:val="00922EE1"/>
    <w:rsid w:val="009234FB"/>
    <w:rsid w:val="00923D34"/>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510"/>
    <w:rsid w:val="00945FC4"/>
    <w:rsid w:val="00946381"/>
    <w:rsid w:val="0094676D"/>
    <w:rsid w:val="00946790"/>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4C45"/>
    <w:rsid w:val="00955728"/>
    <w:rsid w:val="0095591C"/>
    <w:rsid w:val="00956376"/>
    <w:rsid w:val="009575E5"/>
    <w:rsid w:val="00957B4F"/>
    <w:rsid w:val="00960171"/>
    <w:rsid w:val="0096017F"/>
    <w:rsid w:val="00960BB5"/>
    <w:rsid w:val="00960D63"/>
    <w:rsid w:val="009617CA"/>
    <w:rsid w:val="00961AF9"/>
    <w:rsid w:val="00961B4A"/>
    <w:rsid w:val="00961C8D"/>
    <w:rsid w:val="00962E02"/>
    <w:rsid w:val="00962EEA"/>
    <w:rsid w:val="009632F8"/>
    <w:rsid w:val="00963795"/>
    <w:rsid w:val="0096431C"/>
    <w:rsid w:val="00964672"/>
    <w:rsid w:val="00964E05"/>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143"/>
    <w:rsid w:val="009802E5"/>
    <w:rsid w:val="00980BEE"/>
    <w:rsid w:val="009815F6"/>
    <w:rsid w:val="009817D6"/>
    <w:rsid w:val="00982099"/>
    <w:rsid w:val="009820F9"/>
    <w:rsid w:val="009820FA"/>
    <w:rsid w:val="009822DF"/>
    <w:rsid w:val="009826FC"/>
    <w:rsid w:val="009829A1"/>
    <w:rsid w:val="0098309F"/>
    <w:rsid w:val="00983150"/>
    <w:rsid w:val="00983743"/>
    <w:rsid w:val="009838C1"/>
    <w:rsid w:val="009839FB"/>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DB9"/>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1FB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2D8"/>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4DB9"/>
    <w:rsid w:val="009E5022"/>
    <w:rsid w:val="009E5444"/>
    <w:rsid w:val="009E54F0"/>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8E5"/>
    <w:rsid w:val="009F2B35"/>
    <w:rsid w:val="009F2DBF"/>
    <w:rsid w:val="009F3061"/>
    <w:rsid w:val="009F320F"/>
    <w:rsid w:val="009F35E5"/>
    <w:rsid w:val="009F3A1F"/>
    <w:rsid w:val="009F3E3E"/>
    <w:rsid w:val="009F467A"/>
    <w:rsid w:val="009F48E7"/>
    <w:rsid w:val="009F4C5C"/>
    <w:rsid w:val="009F518F"/>
    <w:rsid w:val="009F519C"/>
    <w:rsid w:val="009F53CD"/>
    <w:rsid w:val="009F5474"/>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5836"/>
    <w:rsid w:val="00A16FAB"/>
    <w:rsid w:val="00A17791"/>
    <w:rsid w:val="00A17C98"/>
    <w:rsid w:val="00A2058F"/>
    <w:rsid w:val="00A21043"/>
    <w:rsid w:val="00A212D7"/>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7E6"/>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0CFE"/>
    <w:rsid w:val="00A41573"/>
    <w:rsid w:val="00A4163B"/>
    <w:rsid w:val="00A41AD2"/>
    <w:rsid w:val="00A41CEE"/>
    <w:rsid w:val="00A41E45"/>
    <w:rsid w:val="00A4206A"/>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28"/>
    <w:rsid w:val="00A6524E"/>
    <w:rsid w:val="00A655D7"/>
    <w:rsid w:val="00A65EB2"/>
    <w:rsid w:val="00A65ED5"/>
    <w:rsid w:val="00A661FF"/>
    <w:rsid w:val="00A6628E"/>
    <w:rsid w:val="00A662CC"/>
    <w:rsid w:val="00A66E91"/>
    <w:rsid w:val="00A6742A"/>
    <w:rsid w:val="00A7015F"/>
    <w:rsid w:val="00A70780"/>
    <w:rsid w:val="00A707B5"/>
    <w:rsid w:val="00A71384"/>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05C"/>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5D3"/>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25"/>
    <w:rsid w:val="00A944FE"/>
    <w:rsid w:val="00A94888"/>
    <w:rsid w:val="00A94B72"/>
    <w:rsid w:val="00A951BA"/>
    <w:rsid w:val="00A9520F"/>
    <w:rsid w:val="00A95442"/>
    <w:rsid w:val="00A956CF"/>
    <w:rsid w:val="00A95D29"/>
    <w:rsid w:val="00A95E1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9F2"/>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6FB"/>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2F2F"/>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1FEF"/>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42FF"/>
    <w:rsid w:val="00B246E3"/>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89B"/>
    <w:rsid w:val="00B44A57"/>
    <w:rsid w:val="00B44D46"/>
    <w:rsid w:val="00B44FB5"/>
    <w:rsid w:val="00B45C65"/>
    <w:rsid w:val="00B4600D"/>
    <w:rsid w:val="00B46508"/>
    <w:rsid w:val="00B4677D"/>
    <w:rsid w:val="00B469C4"/>
    <w:rsid w:val="00B46A94"/>
    <w:rsid w:val="00B47218"/>
    <w:rsid w:val="00B475CC"/>
    <w:rsid w:val="00B4777B"/>
    <w:rsid w:val="00B47D2E"/>
    <w:rsid w:val="00B500AA"/>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207"/>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EB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03A"/>
    <w:rsid w:val="00BD750E"/>
    <w:rsid w:val="00BE0424"/>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2E4C"/>
    <w:rsid w:val="00C135E2"/>
    <w:rsid w:val="00C142F1"/>
    <w:rsid w:val="00C14733"/>
    <w:rsid w:val="00C15336"/>
    <w:rsid w:val="00C1560F"/>
    <w:rsid w:val="00C1563B"/>
    <w:rsid w:val="00C15E74"/>
    <w:rsid w:val="00C15F47"/>
    <w:rsid w:val="00C16020"/>
    <w:rsid w:val="00C160C4"/>
    <w:rsid w:val="00C16203"/>
    <w:rsid w:val="00C1622C"/>
    <w:rsid w:val="00C163A1"/>
    <w:rsid w:val="00C167EC"/>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AE9"/>
    <w:rsid w:val="00C23B8B"/>
    <w:rsid w:val="00C2419B"/>
    <w:rsid w:val="00C243BF"/>
    <w:rsid w:val="00C24438"/>
    <w:rsid w:val="00C24666"/>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4F4A"/>
    <w:rsid w:val="00C351C9"/>
    <w:rsid w:val="00C35287"/>
    <w:rsid w:val="00C353AE"/>
    <w:rsid w:val="00C35F34"/>
    <w:rsid w:val="00C3608D"/>
    <w:rsid w:val="00C3619D"/>
    <w:rsid w:val="00C366DA"/>
    <w:rsid w:val="00C37C2C"/>
    <w:rsid w:val="00C37E09"/>
    <w:rsid w:val="00C37F75"/>
    <w:rsid w:val="00C404ED"/>
    <w:rsid w:val="00C40719"/>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92C"/>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03D"/>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5DF"/>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1BDE"/>
    <w:rsid w:val="00CB21B6"/>
    <w:rsid w:val="00CB2410"/>
    <w:rsid w:val="00CB242B"/>
    <w:rsid w:val="00CB266B"/>
    <w:rsid w:val="00CB2921"/>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6E"/>
    <w:rsid w:val="00CC55E5"/>
    <w:rsid w:val="00CC5C74"/>
    <w:rsid w:val="00CC5C90"/>
    <w:rsid w:val="00CC60ED"/>
    <w:rsid w:val="00CC645B"/>
    <w:rsid w:val="00CC69BD"/>
    <w:rsid w:val="00CC7009"/>
    <w:rsid w:val="00CC7156"/>
    <w:rsid w:val="00CC72DA"/>
    <w:rsid w:val="00CC750E"/>
    <w:rsid w:val="00CC78A2"/>
    <w:rsid w:val="00CC792A"/>
    <w:rsid w:val="00CD008C"/>
    <w:rsid w:val="00CD0252"/>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364C"/>
    <w:rsid w:val="00CD4043"/>
    <w:rsid w:val="00CD4A53"/>
    <w:rsid w:val="00CD4AC5"/>
    <w:rsid w:val="00CD4B27"/>
    <w:rsid w:val="00CD4F06"/>
    <w:rsid w:val="00CD4F96"/>
    <w:rsid w:val="00CD56C6"/>
    <w:rsid w:val="00CD6434"/>
    <w:rsid w:val="00CD66A4"/>
    <w:rsid w:val="00CD68D1"/>
    <w:rsid w:val="00CD69C8"/>
    <w:rsid w:val="00CD6C00"/>
    <w:rsid w:val="00CD7161"/>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244"/>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2145"/>
    <w:rsid w:val="00D23B8C"/>
    <w:rsid w:val="00D241F2"/>
    <w:rsid w:val="00D24227"/>
    <w:rsid w:val="00D2422E"/>
    <w:rsid w:val="00D246D3"/>
    <w:rsid w:val="00D24780"/>
    <w:rsid w:val="00D24E16"/>
    <w:rsid w:val="00D251D3"/>
    <w:rsid w:val="00D25412"/>
    <w:rsid w:val="00D25546"/>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1DC"/>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88B"/>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2EC7"/>
    <w:rsid w:val="00D93384"/>
    <w:rsid w:val="00D936F1"/>
    <w:rsid w:val="00D94A2E"/>
    <w:rsid w:val="00D95206"/>
    <w:rsid w:val="00D95382"/>
    <w:rsid w:val="00D95BC3"/>
    <w:rsid w:val="00D95BD0"/>
    <w:rsid w:val="00D95FA9"/>
    <w:rsid w:val="00D960E0"/>
    <w:rsid w:val="00D961A8"/>
    <w:rsid w:val="00D9691C"/>
    <w:rsid w:val="00D96B82"/>
    <w:rsid w:val="00D9706D"/>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4B4C"/>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0DE3"/>
    <w:rsid w:val="00DC11C7"/>
    <w:rsid w:val="00DC11FD"/>
    <w:rsid w:val="00DC1CAB"/>
    <w:rsid w:val="00DC25DE"/>
    <w:rsid w:val="00DC2CB7"/>
    <w:rsid w:val="00DC2FDA"/>
    <w:rsid w:val="00DC33DC"/>
    <w:rsid w:val="00DC406A"/>
    <w:rsid w:val="00DC4195"/>
    <w:rsid w:val="00DC4704"/>
    <w:rsid w:val="00DC4739"/>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7B"/>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6E7"/>
    <w:rsid w:val="00E02795"/>
    <w:rsid w:val="00E02B5A"/>
    <w:rsid w:val="00E02F7E"/>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74C"/>
    <w:rsid w:val="00E15843"/>
    <w:rsid w:val="00E158AB"/>
    <w:rsid w:val="00E15D5F"/>
    <w:rsid w:val="00E165A2"/>
    <w:rsid w:val="00E16BE4"/>
    <w:rsid w:val="00E16C53"/>
    <w:rsid w:val="00E17A2C"/>
    <w:rsid w:val="00E17C68"/>
    <w:rsid w:val="00E2055B"/>
    <w:rsid w:val="00E2131C"/>
    <w:rsid w:val="00E2132A"/>
    <w:rsid w:val="00E2199D"/>
    <w:rsid w:val="00E224F8"/>
    <w:rsid w:val="00E225D1"/>
    <w:rsid w:val="00E22CE7"/>
    <w:rsid w:val="00E22F7A"/>
    <w:rsid w:val="00E2314B"/>
    <w:rsid w:val="00E235EB"/>
    <w:rsid w:val="00E23819"/>
    <w:rsid w:val="00E23BAB"/>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085"/>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2D6B"/>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55"/>
    <w:rsid w:val="00E81DD5"/>
    <w:rsid w:val="00E81F2E"/>
    <w:rsid w:val="00E82718"/>
    <w:rsid w:val="00E830E8"/>
    <w:rsid w:val="00E834A6"/>
    <w:rsid w:val="00E83B1E"/>
    <w:rsid w:val="00E83B83"/>
    <w:rsid w:val="00E83B95"/>
    <w:rsid w:val="00E83F5C"/>
    <w:rsid w:val="00E84347"/>
    <w:rsid w:val="00E84EAE"/>
    <w:rsid w:val="00E84FFE"/>
    <w:rsid w:val="00E851E6"/>
    <w:rsid w:val="00E852C0"/>
    <w:rsid w:val="00E859D0"/>
    <w:rsid w:val="00E87297"/>
    <w:rsid w:val="00E87387"/>
    <w:rsid w:val="00E8764E"/>
    <w:rsid w:val="00E87D3A"/>
    <w:rsid w:val="00E87F96"/>
    <w:rsid w:val="00E9092F"/>
    <w:rsid w:val="00E90EA1"/>
    <w:rsid w:val="00E90ED0"/>
    <w:rsid w:val="00E91000"/>
    <w:rsid w:val="00E91186"/>
    <w:rsid w:val="00E9140C"/>
    <w:rsid w:val="00E91588"/>
    <w:rsid w:val="00E9178E"/>
    <w:rsid w:val="00E91C58"/>
    <w:rsid w:val="00E92110"/>
    <w:rsid w:val="00E92DDF"/>
    <w:rsid w:val="00E92F3E"/>
    <w:rsid w:val="00E92F8F"/>
    <w:rsid w:val="00E938A6"/>
    <w:rsid w:val="00E93EC9"/>
    <w:rsid w:val="00E941AD"/>
    <w:rsid w:val="00E941D4"/>
    <w:rsid w:val="00E94531"/>
    <w:rsid w:val="00E94A8F"/>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5E49"/>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6D82"/>
    <w:rsid w:val="00EC73FE"/>
    <w:rsid w:val="00ED01E8"/>
    <w:rsid w:val="00ED0B7D"/>
    <w:rsid w:val="00ED0D00"/>
    <w:rsid w:val="00ED1155"/>
    <w:rsid w:val="00ED1582"/>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21"/>
    <w:rsid w:val="00ED709E"/>
    <w:rsid w:val="00ED7BB6"/>
    <w:rsid w:val="00EE0432"/>
    <w:rsid w:val="00EE047C"/>
    <w:rsid w:val="00EE04CC"/>
    <w:rsid w:val="00EE0553"/>
    <w:rsid w:val="00EE08ED"/>
    <w:rsid w:val="00EE1225"/>
    <w:rsid w:val="00EE1876"/>
    <w:rsid w:val="00EE1A5A"/>
    <w:rsid w:val="00EE1CBB"/>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5DF"/>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73C"/>
    <w:rsid w:val="00F04BC4"/>
    <w:rsid w:val="00F04C61"/>
    <w:rsid w:val="00F05595"/>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B3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2ECD"/>
    <w:rsid w:val="00F435C8"/>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48B7"/>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06B"/>
    <w:rsid w:val="00F631C8"/>
    <w:rsid w:val="00F63B80"/>
    <w:rsid w:val="00F63E0C"/>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BBB"/>
    <w:rsid w:val="00F74E7B"/>
    <w:rsid w:val="00F74FD5"/>
    <w:rsid w:val="00F751E4"/>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68EE"/>
    <w:rsid w:val="00F87269"/>
    <w:rsid w:val="00F87A3C"/>
    <w:rsid w:val="00F87FDA"/>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17"/>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0F85"/>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86"/>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 w:val="00FF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101618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799614301">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1621404">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5AB2A-3A5E-4751-A4DB-4FF021691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2495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4</cp:revision>
  <cp:lastPrinted>2007-04-24T00:59:00Z</cp:lastPrinted>
  <dcterms:created xsi:type="dcterms:W3CDTF">2025-02-07T08:41:00Z</dcterms:created>
  <dcterms:modified xsi:type="dcterms:W3CDTF">2025-02-07T09:04:00Z</dcterms:modified>
</cp:coreProperties>
</file>